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8A999A">
      <w:pPr>
        <w:widowControl/>
        <w:jc w:val="left"/>
        <w:rPr>
          <w:rFonts w:ascii="黑体" w:hAnsi="黑体" w:eastAsia="黑体" w:cs="黑体"/>
          <w:sz w:val="32"/>
          <w:szCs w:val="32"/>
        </w:rPr>
      </w:pPr>
      <w:r>
        <w:rPr>
          <w:rFonts w:hint="eastAsia" w:ascii="黑体" w:hAnsi="黑体" w:eastAsia="黑体" w:cs="黑体"/>
          <w:color w:val="000000"/>
          <w:kern w:val="0"/>
          <w:sz w:val="32"/>
          <w:szCs w:val="32"/>
          <w:lang w:bidi="ar"/>
        </w:rPr>
        <w:t xml:space="preserve">附件2 </w:t>
      </w:r>
    </w:p>
    <w:p w14:paraId="49543175">
      <w:pPr>
        <w:widowControl/>
        <w:jc w:val="left"/>
        <w:rPr>
          <w:rFonts w:ascii="黑体" w:hAnsi="黑体" w:eastAsia="黑体" w:cs="黑体"/>
          <w:sz w:val="32"/>
          <w:szCs w:val="32"/>
        </w:rPr>
      </w:pPr>
      <w:r>
        <w:rPr>
          <w:rFonts w:hint="eastAsia" w:ascii="黑体" w:hAnsi="黑体" w:eastAsia="黑体" w:cs="黑体"/>
          <w:color w:val="000000"/>
          <w:kern w:val="0"/>
          <w:sz w:val="32"/>
          <w:szCs w:val="32"/>
          <w:lang w:bidi="ar"/>
        </w:rPr>
        <w:sym w:font="Wingdings 2" w:char="00A3"/>
      </w:r>
      <w:r>
        <w:rPr>
          <w:rFonts w:hint="eastAsia" w:ascii="黑体" w:hAnsi="黑体" w:eastAsia="黑体" w:cs="黑体"/>
          <w:color w:val="000000"/>
          <w:kern w:val="0"/>
          <w:sz w:val="32"/>
          <w:szCs w:val="32"/>
          <w:lang w:bidi="ar"/>
        </w:rPr>
        <w:t xml:space="preserve">校级党建工作标杆院系 </w:t>
      </w:r>
    </w:p>
    <w:p w14:paraId="02B3822B">
      <w:pPr>
        <w:widowControl/>
        <w:jc w:val="left"/>
        <w:rPr>
          <w:rFonts w:ascii="黑体" w:hAnsi="黑体" w:eastAsia="黑体" w:cs="黑体"/>
          <w:sz w:val="32"/>
          <w:szCs w:val="32"/>
        </w:rPr>
      </w:pPr>
      <w:r>
        <w:rPr>
          <w:rFonts w:hint="eastAsia" w:ascii="黑体" w:hAnsi="黑体" w:eastAsia="黑体" w:cs="黑体"/>
          <w:color w:val="000000"/>
          <w:kern w:val="0"/>
          <w:sz w:val="32"/>
          <w:szCs w:val="32"/>
          <w:lang w:bidi="ar"/>
        </w:rPr>
        <w:sym w:font="Wingdings 2" w:char="0052"/>
      </w:r>
      <w:r>
        <w:rPr>
          <w:rFonts w:hint="eastAsia" w:ascii="黑体" w:hAnsi="黑体" w:eastAsia="黑体" w:cs="黑体"/>
          <w:color w:val="000000"/>
          <w:kern w:val="0"/>
          <w:sz w:val="32"/>
          <w:szCs w:val="32"/>
          <w:lang w:bidi="ar"/>
        </w:rPr>
        <w:t xml:space="preserve">校级党建工作样板支部 </w:t>
      </w:r>
    </w:p>
    <w:p w14:paraId="7DD5A1CB">
      <w:pPr>
        <w:widowControl/>
        <w:jc w:val="left"/>
        <w:rPr>
          <w:rFonts w:ascii="黑体" w:hAnsi="黑体" w:eastAsia="黑体" w:cs="黑体"/>
          <w:sz w:val="32"/>
          <w:szCs w:val="32"/>
        </w:rPr>
      </w:pPr>
      <w:r>
        <w:rPr>
          <w:rFonts w:hint="eastAsia" w:ascii="黑体" w:hAnsi="黑体" w:eastAsia="黑体" w:cs="黑体"/>
          <w:color w:val="000000"/>
          <w:kern w:val="0"/>
          <w:sz w:val="32"/>
          <w:szCs w:val="32"/>
          <w:lang w:bidi="ar"/>
        </w:rPr>
        <w:sym w:font="Wingdings 2" w:char="00A3"/>
      </w:r>
      <w:r>
        <w:rPr>
          <w:rFonts w:hint="eastAsia" w:ascii="黑体" w:hAnsi="黑体" w:eastAsia="黑体" w:cs="黑体"/>
          <w:color w:val="000000"/>
          <w:kern w:val="0"/>
          <w:sz w:val="32"/>
          <w:szCs w:val="32"/>
          <w:lang w:bidi="ar"/>
        </w:rPr>
        <w:t>校级“双带头人”教师党支部书记工作室</w:t>
      </w:r>
    </w:p>
    <w:p w14:paraId="47FAAFDD">
      <w:pPr>
        <w:jc w:val="left"/>
      </w:pPr>
    </w:p>
    <w:p w14:paraId="63CA144A"/>
    <w:p w14:paraId="4DC06F3D"/>
    <w:p w14:paraId="7BCC7058"/>
    <w:p w14:paraId="75325D0E"/>
    <w:p w14:paraId="4DAD2A38">
      <w:r>
        <w:rPr>
          <w:rFonts w:hint="eastAsia"/>
        </w:rPr>
        <w:t xml:space="preserve"> </w:t>
      </w:r>
    </w:p>
    <w:p w14:paraId="465143D1"/>
    <w:p w14:paraId="09669DE7"/>
    <w:p w14:paraId="42A47F29">
      <w:pPr>
        <w:widowControl/>
        <w:jc w:val="center"/>
        <w:rPr>
          <w:rFonts w:ascii="方正小标宋简体" w:hAnsi="方正小标宋简体" w:eastAsia="方正小标宋简体" w:cs="方正小标宋简体"/>
          <w:color w:val="000000"/>
          <w:kern w:val="0"/>
          <w:sz w:val="44"/>
          <w:szCs w:val="44"/>
          <w:lang w:bidi="ar"/>
        </w:rPr>
      </w:pPr>
      <w:r>
        <w:rPr>
          <w:rFonts w:ascii="方正小标宋简体" w:hAnsi="方正小标宋简体" w:eastAsia="方正小标宋简体" w:cs="方正小标宋简体"/>
          <w:color w:val="000000"/>
          <w:kern w:val="0"/>
          <w:sz w:val="44"/>
          <w:szCs w:val="44"/>
          <w:lang w:bidi="ar"/>
        </w:rPr>
        <w:t>工 作 验 收 申 请 书</w:t>
      </w:r>
    </w:p>
    <w:p w14:paraId="7E5BACCB">
      <w:pPr>
        <w:widowControl/>
        <w:jc w:val="center"/>
        <w:rPr>
          <w:rFonts w:ascii="方正小标宋简体" w:hAnsi="方正小标宋简体" w:eastAsia="方正小标宋简体" w:cs="方正小标宋简体"/>
          <w:color w:val="000000"/>
          <w:kern w:val="0"/>
          <w:sz w:val="48"/>
          <w:szCs w:val="48"/>
          <w:lang w:bidi="ar"/>
        </w:rPr>
      </w:pPr>
    </w:p>
    <w:p w14:paraId="2B68FEA2">
      <w:pPr>
        <w:widowControl/>
        <w:jc w:val="center"/>
        <w:rPr>
          <w:rFonts w:ascii="方正小标宋简体" w:hAnsi="方正小标宋简体" w:eastAsia="方正小标宋简体" w:cs="方正小标宋简体"/>
          <w:color w:val="000000"/>
          <w:kern w:val="0"/>
          <w:sz w:val="48"/>
          <w:szCs w:val="48"/>
          <w:lang w:bidi="ar"/>
        </w:rPr>
      </w:pPr>
    </w:p>
    <w:p w14:paraId="6C629A79">
      <w:pPr>
        <w:tabs>
          <w:tab w:val="left" w:pos="2421"/>
        </w:tabs>
        <w:jc w:val="left"/>
      </w:pPr>
    </w:p>
    <w:p w14:paraId="71E44199">
      <w:pPr>
        <w:widowControl/>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二级学院名称：</w:t>
      </w:r>
      <w:r>
        <w:rPr>
          <w:rFonts w:hint="eastAsia" w:ascii="仿宋_GB2312" w:hAnsi="仿宋_GB2312" w:eastAsia="仿宋_GB2312" w:cs="仿宋_GB2312"/>
          <w:color w:val="000000"/>
          <w:kern w:val="0"/>
          <w:sz w:val="32"/>
          <w:szCs w:val="32"/>
          <w:lang w:val="en-US" w:eastAsia="zh-CN" w:bidi="ar"/>
        </w:rPr>
        <w:t>数字经济学院</w:t>
      </w:r>
    </w:p>
    <w:p w14:paraId="051440C7">
      <w:pPr>
        <w:widowControl/>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kern w:val="0"/>
          <w:sz w:val="32"/>
          <w:szCs w:val="32"/>
          <w:lang w:bidi="ar"/>
        </w:rPr>
        <w:t>项 目 负责人：</w:t>
      </w:r>
      <w:r>
        <w:rPr>
          <w:rFonts w:hint="eastAsia" w:ascii="仿宋_GB2312" w:hAnsi="仿宋_GB2312" w:eastAsia="仿宋_GB2312" w:cs="仿宋_GB2312"/>
          <w:color w:val="000000"/>
          <w:kern w:val="0"/>
          <w:sz w:val="32"/>
          <w:szCs w:val="32"/>
          <w:lang w:val="en-US" w:eastAsia="zh-CN" w:bidi="ar"/>
        </w:rPr>
        <w:t>李娟</w:t>
      </w:r>
    </w:p>
    <w:p w14:paraId="66F8D85E">
      <w:pPr>
        <w:widowControl/>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color w:val="000000"/>
          <w:kern w:val="0"/>
          <w:sz w:val="32"/>
          <w:szCs w:val="32"/>
          <w:lang w:bidi="ar"/>
        </w:rPr>
        <w:t>联 系 电 话 ：</w:t>
      </w:r>
      <w:r>
        <w:rPr>
          <w:rFonts w:hint="eastAsia" w:ascii="仿宋_GB2312" w:hAnsi="仿宋_GB2312" w:eastAsia="仿宋_GB2312" w:cs="仿宋_GB2312"/>
          <w:color w:val="000000"/>
          <w:kern w:val="0"/>
          <w:sz w:val="32"/>
          <w:szCs w:val="32"/>
          <w:lang w:val="en-US" w:eastAsia="zh-CN" w:bidi="ar"/>
        </w:rPr>
        <w:t>18683976960</w:t>
      </w:r>
    </w:p>
    <w:p w14:paraId="5DADE567">
      <w:pPr>
        <w:widowControl/>
        <w:jc w:val="left"/>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填 报 日 期 ：</w:t>
      </w:r>
      <w:r>
        <w:rPr>
          <w:rFonts w:hint="eastAsia" w:ascii="仿宋_GB2312" w:hAnsi="仿宋_GB2312" w:eastAsia="仿宋_GB2312" w:cs="仿宋_GB2312"/>
          <w:color w:val="000000"/>
          <w:kern w:val="0"/>
          <w:sz w:val="32"/>
          <w:szCs w:val="32"/>
          <w:lang w:val="en-US" w:eastAsia="zh-CN" w:bidi="ar"/>
        </w:rPr>
        <w:t>2025.10.15</w:t>
      </w:r>
      <w:r>
        <w:rPr>
          <w:rFonts w:hint="eastAsia" w:ascii="仿宋_GB2312" w:hAnsi="仿宋_GB2312" w:eastAsia="仿宋_GB2312" w:cs="仿宋_GB2312"/>
          <w:color w:val="000000"/>
          <w:kern w:val="0"/>
          <w:sz w:val="32"/>
          <w:szCs w:val="32"/>
          <w:lang w:bidi="ar"/>
        </w:rPr>
        <w:t xml:space="preserve"> </w:t>
      </w:r>
    </w:p>
    <w:p w14:paraId="519F9579">
      <w:pPr>
        <w:widowControl/>
        <w:jc w:val="left"/>
        <w:rPr>
          <w:rFonts w:ascii="华文楷体" w:hAnsi="华文楷体" w:eastAsia="华文楷体" w:cs="华文楷体"/>
          <w:color w:val="000000"/>
          <w:kern w:val="0"/>
          <w:sz w:val="28"/>
          <w:szCs w:val="28"/>
          <w:lang w:bidi="ar"/>
        </w:rPr>
      </w:pPr>
    </w:p>
    <w:p w14:paraId="26DAD643">
      <w:pPr>
        <w:widowControl/>
        <w:jc w:val="left"/>
        <w:rPr>
          <w:rFonts w:ascii="华文楷体" w:hAnsi="华文楷体" w:eastAsia="华文楷体" w:cs="华文楷体"/>
          <w:color w:val="000000"/>
          <w:kern w:val="0"/>
          <w:sz w:val="28"/>
          <w:szCs w:val="28"/>
          <w:lang w:bidi="ar"/>
        </w:rPr>
      </w:pPr>
    </w:p>
    <w:p w14:paraId="3B2ADA9F">
      <w:pPr>
        <w:widowControl/>
        <w:jc w:val="left"/>
        <w:rPr>
          <w:rFonts w:ascii="华文楷体" w:hAnsi="华文楷体" w:eastAsia="华文楷体" w:cs="华文楷体"/>
          <w:color w:val="000000"/>
          <w:kern w:val="0"/>
          <w:sz w:val="28"/>
          <w:szCs w:val="28"/>
          <w:lang w:bidi="ar"/>
        </w:rPr>
      </w:pPr>
    </w:p>
    <w:p w14:paraId="3416A477">
      <w:pPr>
        <w:widowControl/>
        <w:jc w:val="center"/>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中共四川信息职业技术学院委员会</w:t>
      </w:r>
    </w:p>
    <w:p w14:paraId="64E6B823">
      <w:pPr>
        <w:widowControl/>
        <w:jc w:val="center"/>
        <w:rPr>
          <w:rFonts w:ascii="仿宋_GB2312" w:hAnsi="仿宋_GB2312" w:eastAsia="仿宋_GB2312" w:cs="仿宋_GB2312"/>
          <w:sz w:val="32"/>
          <w:szCs w:val="32"/>
        </w:rPr>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pPr>
      <w:r>
        <w:rPr>
          <w:rFonts w:hint="eastAsia" w:ascii="仿宋_GB2312" w:hAnsi="仿宋_GB2312" w:eastAsia="仿宋_GB2312" w:cs="仿宋_GB2312"/>
          <w:color w:val="000000"/>
          <w:kern w:val="0"/>
          <w:sz w:val="32"/>
          <w:szCs w:val="32"/>
          <w:lang w:bidi="ar"/>
        </w:rPr>
        <w:t>202</w:t>
      </w:r>
      <w:r>
        <w:rPr>
          <w:rFonts w:ascii="仿宋_GB2312" w:hAnsi="仿宋_GB2312" w:eastAsia="仿宋_GB2312" w:cs="仿宋_GB2312"/>
          <w:color w:val="000000"/>
          <w:kern w:val="0"/>
          <w:sz w:val="32"/>
          <w:szCs w:val="32"/>
          <w:lang w:bidi="ar"/>
        </w:rPr>
        <w:t>5</w:t>
      </w:r>
      <w:r>
        <w:rPr>
          <w:rFonts w:hint="eastAsia" w:ascii="仿宋_GB2312" w:hAnsi="仿宋_GB2312" w:eastAsia="仿宋_GB2312" w:cs="仿宋_GB2312"/>
          <w:color w:val="000000"/>
          <w:kern w:val="0"/>
          <w:sz w:val="32"/>
          <w:szCs w:val="32"/>
          <w:lang w:bidi="ar"/>
        </w:rPr>
        <w:t xml:space="preserve"> 年 </w:t>
      </w:r>
      <w:r>
        <w:rPr>
          <w:rFonts w:ascii="仿宋_GB2312" w:hAnsi="仿宋_GB2312" w:eastAsia="仿宋_GB2312" w:cs="仿宋_GB2312"/>
          <w:color w:val="000000"/>
          <w:kern w:val="0"/>
          <w:sz w:val="32"/>
          <w:szCs w:val="32"/>
          <w:lang w:bidi="ar"/>
        </w:rPr>
        <w:t>9</w:t>
      </w:r>
      <w:r>
        <w:rPr>
          <w:rFonts w:hint="eastAsia" w:ascii="仿宋_GB2312" w:hAnsi="仿宋_GB2312" w:eastAsia="仿宋_GB2312" w:cs="仿宋_GB2312"/>
          <w:color w:val="000000"/>
          <w:kern w:val="0"/>
          <w:sz w:val="32"/>
          <w:szCs w:val="32"/>
          <w:lang w:bidi="ar"/>
        </w:rPr>
        <w:t>月</w:t>
      </w:r>
    </w:p>
    <w:p w14:paraId="66039474">
      <w:pPr>
        <w:widowControl/>
        <w:rPr>
          <w:rFonts w:ascii="黑体" w:hAnsi="黑体" w:eastAsia="黑体" w:cs="黑体"/>
          <w:color w:val="000000"/>
          <w:kern w:val="0"/>
          <w:sz w:val="32"/>
          <w:szCs w:val="32"/>
          <w:lang w:bidi="ar"/>
        </w:rPr>
      </w:pPr>
      <w:r>
        <w:rPr>
          <w:rFonts w:hint="eastAsia" w:ascii="黑体" w:hAnsi="黑体" w:eastAsia="黑体" w:cs="黑体"/>
          <w:color w:val="000000"/>
          <w:kern w:val="0"/>
          <w:sz w:val="32"/>
          <w:szCs w:val="32"/>
          <w:lang w:bidi="ar"/>
        </w:rPr>
        <w:t>一、基本信息</w:t>
      </w:r>
    </w:p>
    <w:tbl>
      <w:tblPr>
        <w:tblStyle w:val="10"/>
        <w:tblW w:w="9699" w:type="dxa"/>
        <w:tblInd w:w="-5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1"/>
        <w:gridCol w:w="2414"/>
        <w:gridCol w:w="2531"/>
        <w:gridCol w:w="2533"/>
      </w:tblGrid>
      <w:tr w14:paraId="5BF50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3" w:hRule="atLeast"/>
        </w:trPr>
        <w:tc>
          <w:tcPr>
            <w:tcW w:w="2221" w:type="dxa"/>
            <w:vAlign w:val="center"/>
          </w:tcPr>
          <w:p w14:paraId="278D53B1">
            <w:pPr>
              <w:widowControl/>
              <w:jc w:val="center"/>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建设单位名称</w:t>
            </w:r>
          </w:p>
        </w:tc>
        <w:tc>
          <w:tcPr>
            <w:tcW w:w="7478" w:type="dxa"/>
            <w:gridSpan w:val="3"/>
            <w:vAlign w:val="center"/>
          </w:tcPr>
          <w:p w14:paraId="11291461">
            <w:pPr>
              <w:widowControl/>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color w:val="000000"/>
                <w:kern w:val="0"/>
                <w:sz w:val="32"/>
                <w:szCs w:val="32"/>
                <w:lang w:val="en-US" w:eastAsia="zh-CN" w:bidi="ar"/>
              </w:rPr>
              <w:t>数字经济学院党总支电商物流党支部</w:t>
            </w:r>
          </w:p>
          <w:p w14:paraId="03B1308F">
            <w:pPr>
              <w:widowControl/>
              <w:rPr>
                <w:rFonts w:ascii="仿宋_GB2312" w:hAnsi="仿宋_GB2312" w:eastAsia="仿宋_GB2312" w:cs="仿宋_GB2312"/>
                <w:color w:val="000000"/>
                <w:kern w:val="0"/>
                <w:sz w:val="32"/>
                <w:szCs w:val="32"/>
                <w:lang w:bidi="ar"/>
              </w:rPr>
            </w:pPr>
          </w:p>
        </w:tc>
      </w:tr>
      <w:tr w14:paraId="7B9C2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6" w:hRule="atLeast"/>
        </w:trPr>
        <w:tc>
          <w:tcPr>
            <w:tcW w:w="2221" w:type="dxa"/>
            <w:vAlign w:val="center"/>
          </w:tcPr>
          <w:p w14:paraId="62436A24">
            <w:pPr>
              <w:widowControl/>
              <w:jc w:val="center"/>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建设类型</w:t>
            </w:r>
          </w:p>
        </w:tc>
        <w:tc>
          <w:tcPr>
            <w:tcW w:w="7478" w:type="dxa"/>
            <w:gridSpan w:val="3"/>
            <w:vAlign w:val="center"/>
          </w:tcPr>
          <w:p w14:paraId="486C9749">
            <w:pPr>
              <w:widowControl/>
              <w:jc w:val="left"/>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sym w:font="Wingdings 2" w:char="00A3"/>
            </w:r>
            <w:r>
              <w:rPr>
                <w:rFonts w:hint="eastAsia" w:ascii="仿宋_GB2312" w:hAnsi="仿宋_GB2312" w:eastAsia="仿宋_GB2312" w:cs="仿宋_GB2312"/>
                <w:color w:val="000000"/>
                <w:kern w:val="0"/>
                <w:sz w:val="32"/>
                <w:szCs w:val="32"/>
                <w:lang w:bidi="ar"/>
              </w:rPr>
              <w:t xml:space="preserve">校级党建工作标杆院系 </w:t>
            </w:r>
          </w:p>
          <w:p w14:paraId="7B4393CE">
            <w:pPr>
              <w:widowControl/>
              <w:jc w:val="left"/>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sym w:font="Wingdings 2" w:char="0052"/>
            </w:r>
            <w:r>
              <w:rPr>
                <w:rFonts w:hint="eastAsia" w:ascii="仿宋_GB2312" w:hAnsi="仿宋_GB2312" w:eastAsia="仿宋_GB2312" w:cs="仿宋_GB2312"/>
                <w:color w:val="000000"/>
                <w:kern w:val="0"/>
                <w:sz w:val="32"/>
                <w:szCs w:val="32"/>
                <w:lang w:bidi="ar"/>
              </w:rPr>
              <w:t xml:space="preserve">校级党建工作样板支部 </w:t>
            </w:r>
          </w:p>
          <w:p w14:paraId="28A0501B">
            <w:pPr>
              <w:widowControl/>
              <w:jc w:val="left"/>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sym w:font="Wingdings 2" w:char="00A3"/>
            </w:r>
            <w:r>
              <w:rPr>
                <w:rFonts w:hint="eastAsia" w:ascii="仿宋_GB2312" w:hAnsi="仿宋_GB2312" w:eastAsia="仿宋_GB2312" w:cs="仿宋_GB2312"/>
                <w:color w:val="000000"/>
                <w:kern w:val="0"/>
                <w:sz w:val="32"/>
                <w:szCs w:val="32"/>
                <w:lang w:bidi="ar"/>
              </w:rPr>
              <w:t>校级“双带头人”教师党支部书记工作室</w:t>
            </w:r>
          </w:p>
        </w:tc>
      </w:tr>
      <w:tr w14:paraId="630A1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2221" w:type="dxa"/>
            <w:vMerge w:val="restart"/>
            <w:vAlign w:val="center"/>
          </w:tcPr>
          <w:p w14:paraId="05DA1C7D">
            <w:pPr>
              <w:widowControl/>
              <w:jc w:val="center"/>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负责人</w:t>
            </w:r>
          </w:p>
        </w:tc>
        <w:tc>
          <w:tcPr>
            <w:tcW w:w="2414" w:type="dxa"/>
            <w:vAlign w:val="center"/>
          </w:tcPr>
          <w:p w14:paraId="14E5EF4E">
            <w:pPr>
              <w:widowControl/>
              <w:jc w:val="center"/>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姓名</w:t>
            </w:r>
          </w:p>
        </w:tc>
        <w:tc>
          <w:tcPr>
            <w:tcW w:w="2531" w:type="dxa"/>
            <w:vAlign w:val="center"/>
          </w:tcPr>
          <w:p w14:paraId="0F645F75">
            <w:pPr>
              <w:widowControl/>
              <w:jc w:val="center"/>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职务</w:t>
            </w:r>
            <w:r>
              <w:rPr>
                <w:rFonts w:ascii="仿宋_GB2312" w:hAnsi="仿宋_GB2312" w:eastAsia="仿宋_GB2312" w:cs="仿宋_GB2312"/>
                <w:color w:val="000000"/>
                <w:kern w:val="0"/>
                <w:sz w:val="32"/>
                <w:szCs w:val="32"/>
                <w:lang w:bidi="ar"/>
              </w:rPr>
              <w:t>/</w:t>
            </w:r>
            <w:r>
              <w:rPr>
                <w:rFonts w:hint="eastAsia" w:ascii="仿宋_GB2312" w:hAnsi="仿宋_GB2312" w:eastAsia="仿宋_GB2312" w:cs="仿宋_GB2312"/>
                <w:color w:val="000000"/>
                <w:kern w:val="0"/>
                <w:sz w:val="32"/>
                <w:szCs w:val="32"/>
                <w:lang w:bidi="ar"/>
              </w:rPr>
              <w:t>职称</w:t>
            </w:r>
          </w:p>
        </w:tc>
        <w:tc>
          <w:tcPr>
            <w:tcW w:w="2533" w:type="dxa"/>
            <w:vAlign w:val="center"/>
          </w:tcPr>
          <w:p w14:paraId="4811AE14">
            <w:pPr>
              <w:widowControl/>
              <w:jc w:val="center"/>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办公电话/手机</w:t>
            </w:r>
          </w:p>
        </w:tc>
      </w:tr>
      <w:tr w14:paraId="20DB9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221" w:type="dxa"/>
            <w:vMerge w:val="continue"/>
            <w:vAlign w:val="center"/>
          </w:tcPr>
          <w:p w14:paraId="359EE80E">
            <w:pPr>
              <w:widowControl/>
              <w:jc w:val="center"/>
              <w:rPr>
                <w:rFonts w:ascii="仿宋_GB2312" w:hAnsi="仿宋_GB2312" w:eastAsia="仿宋_GB2312" w:cs="仿宋_GB2312"/>
                <w:color w:val="000000"/>
                <w:kern w:val="0"/>
                <w:sz w:val="32"/>
                <w:szCs w:val="32"/>
                <w:lang w:bidi="ar"/>
              </w:rPr>
            </w:pPr>
          </w:p>
        </w:tc>
        <w:tc>
          <w:tcPr>
            <w:tcW w:w="2414" w:type="dxa"/>
            <w:vAlign w:val="center"/>
          </w:tcPr>
          <w:p w14:paraId="7A230B2C">
            <w:pPr>
              <w:widowControl/>
              <w:jc w:val="center"/>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李娟</w:t>
            </w:r>
          </w:p>
        </w:tc>
        <w:tc>
          <w:tcPr>
            <w:tcW w:w="2531" w:type="dxa"/>
            <w:vAlign w:val="center"/>
          </w:tcPr>
          <w:p w14:paraId="4A2A1B22">
            <w:pPr>
              <w:widowControl/>
              <w:jc w:val="center"/>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支部书记</w:t>
            </w:r>
          </w:p>
        </w:tc>
        <w:tc>
          <w:tcPr>
            <w:tcW w:w="2533" w:type="dxa"/>
            <w:vAlign w:val="center"/>
          </w:tcPr>
          <w:p w14:paraId="7520F7C8">
            <w:pPr>
              <w:widowControl/>
              <w:jc w:val="center"/>
              <w:rPr>
                <w:rFonts w:hint="default"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18683976960</w:t>
            </w:r>
          </w:p>
        </w:tc>
      </w:tr>
      <w:tr w14:paraId="0BFBB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2221" w:type="dxa"/>
            <w:vMerge w:val="restart"/>
            <w:vAlign w:val="center"/>
          </w:tcPr>
          <w:p w14:paraId="5A8865C4">
            <w:pPr>
              <w:widowControl/>
              <w:jc w:val="center"/>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联系人</w:t>
            </w:r>
          </w:p>
        </w:tc>
        <w:tc>
          <w:tcPr>
            <w:tcW w:w="2414" w:type="dxa"/>
            <w:vAlign w:val="center"/>
          </w:tcPr>
          <w:p w14:paraId="05F49F2D">
            <w:pPr>
              <w:widowControl/>
              <w:jc w:val="center"/>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姓名</w:t>
            </w:r>
          </w:p>
        </w:tc>
        <w:tc>
          <w:tcPr>
            <w:tcW w:w="2531" w:type="dxa"/>
            <w:vAlign w:val="center"/>
          </w:tcPr>
          <w:p w14:paraId="4D4033F1">
            <w:pPr>
              <w:widowControl/>
              <w:jc w:val="center"/>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职务</w:t>
            </w:r>
            <w:r>
              <w:rPr>
                <w:rFonts w:ascii="仿宋_GB2312" w:hAnsi="仿宋_GB2312" w:eastAsia="仿宋_GB2312" w:cs="仿宋_GB2312"/>
                <w:color w:val="000000"/>
                <w:kern w:val="0"/>
                <w:sz w:val="32"/>
                <w:szCs w:val="32"/>
                <w:lang w:bidi="ar"/>
              </w:rPr>
              <w:t>/</w:t>
            </w:r>
            <w:r>
              <w:rPr>
                <w:rFonts w:hint="eastAsia" w:ascii="仿宋_GB2312" w:hAnsi="仿宋_GB2312" w:eastAsia="仿宋_GB2312" w:cs="仿宋_GB2312"/>
                <w:color w:val="000000"/>
                <w:kern w:val="0"/>
                <w:sz w:val="32"/>
                <w:szCs w:val="32"/>
                <w:lang w:bidi="ar"/>
              </w:rPr>
              <w:t>职称</w:t>
            </w:r>
          </w:p>
        </w:tc>
        <w:tc>
          <w:tcPr>
            <w:tcW w:w="2533" w:type="dxa"/>
            <w:vAlign w:val="center"/>
          </w:tcPr>
          <w:p w14:paraId="7298D2EF">
            <w:pPr>
              <w:widowControl/>
              <w:jc w:val="center"/>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办公电话</w:t>
            </w:r>
            <w:r>
              <w:rPr>
                <w:rFonts w:ascii="仿宋_GB2312" w:hAnsi="仿宋_GB2312" w:eastAsia="仿宋_GB2312" w:cs="仿宋_GB2312"/>
                <w:color w:val="000000"/>
                <w:kern w:val="0"/>
                <w:sz w:val="32"/>
                <w:szCs w:val="32"/>
                <w:lang w:bidi="ar"/>
              </w:rPr>
              <w:t>/</w:t>
            </w:r>
            <w:r>
              <w:rPr>
                <w:rFonts w:hint="eastAsia" w:ascii="仿宋_GB2312" w:hAnsi="仿宋_GB2312" w:eastAsia="仿宋_GB2312" w:cs="仿宋_GB2312"/>
                <w:color w:val="000000"/>
                <w:kern w:val="0"/>
                <w:sz w:val="32"/>
                <w:szCs w:val="32"/>
                <w:lang w:bidi="ar"/>
              </w:rPr>
              <w:t>手机</w:t>
            </w:r>
          </w:p>
        </w:tc>
      </w:tr>
      <w:tr w14:paraId="51643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2221" w:type="dxa"/>
            <w:vMerge w:val="continue"/>
            <w:vAlign w:val="center"/>
          </w:tcPr>
          <w:p w14:paraId="2DAF9E27">
            <w:pPr>
              <w:widowControl/>
            </w:pPr>
          </w:p>
        </w:tc>
        <w:tc>
          <w:tcPr>
            <w:tcW w:w="2414" w:type="dxa"/>
            <w:vAlign w:val="center"/>
          </w:tcPr>
          <w:p w14:paraId="72B99056">
            <w:pPr>
              <w:widowControl/>
              <w:jc w:val="center"/>
              <w:rPr>
                <w:rFonts w:hint="default"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赵尉辰</w:t>
            </w:r>
          </w:p>
        </w:tc>
        <w:tc>
          <w:tcPr>
            <w:tcW w:w="2531" w:type="dxa"/>
            <w:vAlign w:val="center"/>
          </w:tcPr>
          <w:p w14:paraId="4D2071BD">
            <w:pPr>
              <w:widowControl/>
              <w:jc w:val="center"/>
              <w:rPr>
                <w:rFonts w:hint="default"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组织委员</w:t>
            </w:r>
          </w:p>
        </w:tc>
        <w:tc>
          <w:tcPr>
            <w:tcW w:w="2533" w:type="dxa"/>
            <w:vAlign w:val="center"/>
          </w:tcPr>
          <w:p w14:paraId="593CB94C">
            <w:pPr>
              <w:widowControl/>
              <w:jc w:val="center"/>
              <w:rPr>
                <w:rFonts w:hint="default"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15328581310</w:t>
            </w:r>
          </w:p>
        </w:tc>
      </w:tr>
    </w:tbl>
    <w:p w14:paraId="337CF872">
      <w:pPr>
        <w:widowControl/>
        <w:rPr>
          <w:rFonts w:ascii="黑体" w:hAnsi="黑体" w:eastAsia="黑体" w:cs="黑体"/>
          <w:color w:val="000000"/>
          <w:kern w:val="0"/>
          <w:sz w:val="32"/>
          <w:szCs w:val="32"/>
          <w:lang w:bidi="ar"/>
        </w:rPr>
      </w:pPr>
      <w:r>
        <w:rPr>
          <w:rFonts w:hint="eastAsia" w:ascii="黑体" w:hAnsi="黑体" w:eastAsia="黑体" w:cs="黑体"/>
          <w:color w:val="000000"/>
          <w:kern w:val="0"/>
          <w:sz w:val="32"/>
          <w:szCs w:val="32"/>
          <w:lang w:bidi="ar"/>
        </w:rPr>
        <w:t>二、验收自查总结</w:t>
      </w:r>
    </w:p>
    <w:tbl>
      <w:tblPr>
        <w:tblStyle w:val="10"/>
        <w:tblW w:w="9720" w:type="dxa"/>
        <w:tblInd w:w="-5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0"/>
      </w:tblGrid>
      <w:tr w14:paraId="57457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0" w:type="dxa"/>
          </w:tcPr>
          <w:p w14:paraId="3F24EBC7">
            <w:pPr>
              <w:widowControl/>
              <w:rPr>
                <w:rFonts w:ascii="楷体" w:hAnsi="楷体" w:eastAsia="楷体" w:cs="楷体"/>
                <w:b/>
                <w:bCs/>
                <w:sz w:val="28"/>
                <w:szCs w:val="28"/>
              </w:rPr>
            </w:pPr>
            <w:r>
              <w:rPr>
                <w:rFonts w:hint="eastAsia" w:ascii="楷体" w:hAnsi="楷体" w:eastAsia="楷体" w:cs="楷体"/>
                <w:b/>
                <w:bCs/>
                <w:sz w:val="32"/>
                <w:szCs w:val="32"/>
              </w:rPr>
              <w:t>（一）重点任务完成情况清单</w:t>
            </w:r>
            <w:r>
              <w:rPr>
                <w:rFonts w:hint="eastAsia" w:ascii="楷体" w:hAnsi="楷体" w:eastAsia="楷体" w:cs="楷体"/>
                <w:b/>
                <w:bCs/>
                <w:sz w:val="28"/>
                <w:szCs w:val="28"/>
              </w:rPr>
              <w:t xml:space="preserve"> </w:t>
            </w:r>
          </w:p>
          <w:p w14:paraId="2079ECCE">
            <w:pPr>
              <w:widowControl/>
              <w:ind w:firstLine="640" w:firstLineChars="200"/>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在学校党委的坚强领导下，学院党总支的关心支持下，电商物流党支部严格按照新时代高校党建“双创”任务要求，严格落实“七个有力”，深入实施、持续完善“四个三”党建工作体系，丰富“广元造”综合平台功能，共完成了以下7项重点任务：</w:t>
            </w:r>
          </w:p>
          <w:p w14:paraId="1C4D8650">
            <w:pPr>
              <w:widowControl/>
              <w:ind w:firstLine="643" w:firstLineChars="200"/>
              <w:rPr>
                <w:rFonts w:hint="eastAsia" w:ascii="仿宋_GB2312" w:hAnsi="仿宋_GB2312" w:eastAsia="仿宋_GB2312" w:cs="仿宋_GB2312"/>
                <w:b/>
                <w:bCs/>
                <w:color w:val="000000"/>
                <w:kern w:val="0"/>
                <w:sz w:val="32"/>
                <w:szCs w:val="32"/>
                <w:lang w:val="en-US" w:eastAsia="zh-CN" w:bidi="ar"/>
              </w:rPr>
            </w:pPr>
            <w:r>
              <w:rPr>
                <w:rFonts w:hint="eastAsia" w:ascii="仿宋_GB2312" w:hAnsi="仿宋_GB2312" w:eastAsia="仿宋_GB2312" w:cs="仿宋_GB2312"/>
                <w:b/>
                <w:bCs/>
                <w:color w:val="000000"/>
                <w:kern w:val="0"/>
                <w:sz w:val="32"/>
                <w:szCs w:val="32"/>
                <w:lang w:val="en-US" w:eastAsia="zh-CN" w:bidi="ar"/>
              </w:rPr>
              <w:t>1.抓根本，教育党员有力</w:t>
            </w:r>
          </w:p>
          <w:p w14:paraId="362A68DD">
            <w:pPr>
              <w:ind w:firstLine="640" w:firstLineChars="200"/>
              <w:rPr>
                <w:rFonts w:hint="default"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持续推进“样板支部”建设，修订完善工作责任清单，始终把政治建设摆在首位，</w:t>
            </w:r>
            <w:r>
              <w:rPr>
                <w:rFonts w:hint="eastAsia" w:ascii="仿宋_GB2312" w:hAnsi="黑体" w:eastAsia="仿宋_GB2312" w:cs="仿宋_GB2312"/>
                <w:color w:val="000000"/>
                <w:sz w:val="32"/>
                <w:szCs w:val="32"/>
              </w:rPr>
              <w:t>优化党员活动阵地，全面提升“三会一课”、主题党日活动质量</w:t>
            </w:r>
            <w:r>
              <w:rPr>
                <w:rFonts w:hint="eastAsia" w:ascii="仿宋_GB2312" w:hAnsi="仿宋_GB2312" w:eastAsia="仿宋_GB2312" w:cs="仿宋_GB2312"/>
                <w:color w:val="000000"/>
                <w:kern w:val="0"/>
                <w:sz w:val="32"/>
                <w:szCs w:val="32"/>
                <w:lang w:val="en-US" w:eastAsia="zh-CN" w:bidi="ar"/>
              </w:rPr>
              <w:t>，推进学习教育常态化。两年间，共开展</w:t>
            </w:r>
            <w:r>
              <w:rPr>
                <w:rFonts w:hint="eastAsia" w:ascii="仿宋_GB2312" w:hAnsi="仿宋_GB2312" w:eastAsia="仿宋_GB2312" w:cs="楷体_GB2312"/>
                <w:bCs/>
                <w:sz w:val="32"/>
                <w:szCs w:val="32"/>
              </w:rPr>
              <w:t>二十大精神</w:t>
            </w:r>
            <w:r>
              <w:rPr>
                <w:rFonts w:hint="eastAsia" w:ascii="仿宋_GB2312" w:hAnsi="仿宋_GB2312" w:eastAsia="仿宋_GB2312" w:cs="楷体_GB2312"/>
                <w:bCs/>
                <w:sz w:val="32"/>
                <w:szCs w:val="32"/>
                <w:lang w:eastAsia="zh-CN"/>
              </w:rPr>
              <w:t>、</w:t>
            </w:r>
            <w:r>
              <w:rPr>
                <w:rFonts w:hint="eastAsia" w:ascii="仿宋_GB2312" w:hAnsi="仿宋_GB2312" w:eastAsia="仿宋_GB2312" w:cs="楷体_GB2312"/>
                <w:bCs/>
                <w:sz w:val="32"/>
                <w:szCs w:val="32"/>
              </w:rPr>
              <w:t>习近平总书记来川来广重要指示和讲话精神</w:t>
            </w:r>
            <w:r>
              <w:rPr>
                <w:rFonts w:hint="eastAsia" w:ascii="仿宋_GB2312" w:hAnsi="仿宋_GB2312" w:eastAsia="仿宋_GB2312" w:cs="楷体_GB2312"/>
                <w:bCs/>
                <w:sz w:val="32"/>
                <w:szCs w:val="32"/>
                <w:lang w:eastAsia="zh-CN"/>
              </w:rPr>
              <w:t>、</w:t>
            </w:r>
            <w:r>
              <w:rPr>
                <w:rFonts w:hint="eastAsia" w:ascii="仿宋_GB2312" w:hAnsi="仿宋_GB2312" w:eastAsia="仿宋_GB2312" w:cs="楷体_GB2312"/>
                <w:bCs/>
                <w:sz w:val="32"/>
                <w:szCs w:val="32"/>
                <w:lang w:val="en-US" w:eastAsia="zh-CN"/>
              </w:rPr>
              <w:t>党的二十届三中全会精神等多次专项学习教育活动。充分利用“学习强国”“学习公社”等线上平台，结合案例、微视频、慕课等多种形式，丰富了学习内容，提升了党员的学习积极性。同时，支部还特别注重将理论学习与实践相结合，通过外出研学、实地考察等活动，让党员在亲身体验中深化对党的理论的认识和理解。</w:t>
            </w:r>
            <w:r>
              <w:rPr>
                <w:rFonts w:hint="eastAsia" w:ascii="仿宋_GB2312" w:hAnsi="仿宋_GB2312" w:eastAsia="仿宋_GB2312" w:cs="楷体_GB2312"/>
                <w:bCs/>
                <w:sz w:val="32"/>
                <w:szCs w:val="32"/>
              </w:rPr>
              <w:t>共开展主题教育调研</w:t>
            </w:r>
            <w:r>
              <w:rPr>
                <w:rFonts w:hint="eastAsia" w:ascii="仿宋_GB2312" w:hAnsi="仿宋_GB2312" w:eastAsia="仿宋_GB2312" w:cs="楷体_GB2312"/>
                <w:bCs/>
                <w:sz w:val="32"/>
                <w:szCs w:val="32"/>
                <w:lang w:val="en-US" w:eastAsia="zh-CN"/>
              </w:rPr>
              <w:t>3</w:t>
            </w:r>
            <w:r>
              <w:rPr>
                <w:rFonts w:hint="eastAsia" w:ascii="仿宋_GB2312" w:hAnsi="仿宋_GB2312" w:eastAsia="仿宋_GB2312" w:cs="楷体_GB2312"/>
                <w:bCs/>
                <w:sz w:val="32"/>
                <w:szCs w:val="32"/>
              </w:rPr>
              <w:t>次，收集群众意见</w:t>
            </w:r>
            <w:r>
              <w:rPr>
                <w:rFonts w:hint="eastAsia" w:ascii="仿宋_GB2312" w:hAnsi="仿宋_GB2312" w:eastAsia="仿宋_GB2312" w:cs="楷体_GB2312"/>
                <w:bCs/>
                <w:sz w:val="32"/>
                <w:szCs w:val="32"/>
                <w:lang w:val="en-US" w:eastAsia="zh-CN"/>
              </w:rPr>
              <w:t>11</w:t>
            </w:r>
            <w:r>
              <w:rPr>
                <w:rFonts w:hint="eastAsia" w:ascii="仿宋_GB2312" w:hAnsi="仿宋_GB2312" w:eastAsia="仿宋_GB2312" w:cs="楷体_GB2312"/>
                <w:bCs/>
                <w:sz w:val="32"/>
                <w:szCs w:val="32"/>
              </w:rPr>
              <w:t>条并扎实推进整改落实，做到</w:t>
            </w:r>
            <w:r>
              <w:rPr>
                <w:rFonts w:hint="eastAsia" w:ascii="仿宋_GB2312" w:hAnsi="仿宋_GB2312" w:eastAsia="仿宋_GB2312" w:cs="楷体_GB2312"/>
                <w:bCs/>
                <w:sz w:val="32"/>
                <w:szCs w:val="32"/>
                <w:lang w:val="en-US" w:eastAsia="zh-CN"/>
              </w:rPr>
              <w:t>了</w:t>
            </w:r>
            <w:r>
              <w:rPr>
                <w:rFonts w:hint="eastAsia" w:ascii="仿宋_GB2312" w:hAnsi="仿宋_GB2312" w:eastAsia="仿宋_GB2312" w:cs="楷体_GB2312"/>
                <w:bCs/>
                <w:sz w:val="32"/>
                <w:szCs w:val="32"/>
              </w:rPr>
              <w:t>见真见效。</w:t>
            </w:r>
          </w:p>
          <w:p w14:paraId="5C1BF32C">
            <w:pPr>
              <w:widowControl/>
              <w:ind w:firstLine="643" w:firstLineChars="200"/>
              <w:rPr>
                <w:rFonts w:hint="eastAsia" w:ascii="仿宋_GB2312" w:hAnsi="仿宋_GB2312" w:eastAsia="仿宋_GB2312" w:cs="仿宋_GB2312"/>
                <w:b/>
                <w:bCs/>
                <w:color w:val="000000"/>
                <w:kern w:val="0"/>
                <w:sz w:val="32"/>
                <w:szCs w:val="32"/>
                <w:lang w:val="en-US" w:eastAsia="zh-CN" w:bidi="ar"/>
              </w:rPr>
            </w:pPr>
            <w:r>
              <w:rPr>
                <w:rFonts w:hint="eastAsia" w:ascii="仿宋_GB2312" w:hAnsi="仿宋_GB2312" w:eastAsia="仿宋_GB2312" w:cs="仿宋_GB2312"/>
                <w:b/>
                <w:bCs/>
                <w:color w:val="000000"/>
                <w:kern w:val="0"/>
                <w:sz w:val="32"/>
                <w:szCs w:val="32"/>
                <w:lang w:val="en-US" w:eastAsia="zh-CN" w:bidi="ar"/>
              </w:rPr>
              <w:t>2.抓规范，管理党员有力</w:t>
            </w:r>
          </w:p>
          <w:p w14:paraId="7BE1B8DF">
            <w:pPr>
              <w:ind w:firstLine="640" w:firstLineChars="200"/>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坚持党员发展标准，严格党员发展程序。常抓理想信念教育，端正师生入党动机。积极团结凝聚高层次人才、优秀青年教师。严格落实党费收缴、党籍管理制。开展集中学习培训，年度不少于32个学时。开展“挂胸牌、亮身份、做表率”活动，立先进标尺、树先锋形象。</w:t>
            </w:r>
            <w:r>
              <w:rPr>
                <w:rFonts w:hint="eastAsia" w:ascii="仿宋_GB2312" w:hAnsi="黑体" w:eastAsia="仿宋_GB2312" w:cs="仿宋_GB2312"/>
                <w:color w:val="000000"/>
                <w:sz w:val="32"/>
                <w:szCs w:val="32"/>
              </w:rPr>
              <w:t>扎实</w:t>
            </w:r>
            <w:r>
              <w:rPr>
                <w:rFonts w:hint="eastAsia" w:ascii="仿宋_GB2312" w:hAnsi="黑体" w:eastAsia="仿宋_GB2312" w:cs="仿宋_GB2312"/>
                <w:color w:val="000000"/>
                <w:sz w:val="32"/>
                <w:szCs w:val="32"/>
                <w:lang w:val="en-US" w:eastAsia="zh-CN"/>
              </w:rPr>
              <w:t>推进</w:t>
            </w:r>
            <w:r>
              <w:rPr>
                <w:rFonts w:hint="eastAsia" w:ascii="仿宋_GB2312" w:hAnsi="黑体" w:eastAsia="仿宋_GB2312" w:cs="仿宋_GB2312"/>
                <w:color w:val="000000"/>
                <w:sz w:val="32"/>
                <w:szCs w:val="32"/>
              </w:rPr>
              <w:t>“党员积分制管理”，</w:t>
            </w:r>
            <w:r>
              <w:rPr>
                <w:rFonts w:hint="eastAsia" w:ascii="仿宋_GB2312" w:hAnsi="黑体" w:eastAsia="仿宋_GB2312" w:cs="仿宋_GB2312"/>
                <w:color w:val="000000"/>
                <w:sz w:val="32"/>
                <w:szCs w:val="32"/>
                <w:lang w:eastAsia="zh-CN"/>
              </w:rPr>
              <w:t>结合党员积分制开展年度评优</w:t>
            </w:r>
            <w:r>
              <w:rPr>
                <w:rFonts w:hint="eastAsia" w:ascii="仿宋_GB2312" w:hAnsi="黑体" w:eastAsia="仿宋_GB2312" w:cs="仿宋_GB2312"/>
                <w:color w:val="000000"/>
                <w:sz w:val="32"/>
                <w:szCs w:val="32"/>
                <w:lang w:val="en-US" w:eastAsia="zh-CN"/>
              </w:rPr>
              <w:t>评先工作。</w:t>
            </w:r>
          </w:p>
          <w:p w14:paraId="1F95F692">
            <w:pPr>
              <w:widowControl/>
              <w:ind w:firstLine="643" w:firstLineChars="200"/>
              <w:rPr>
                <w:rFonts w:hint="eastAsia" w:ascii="仿宋_GB2312" w:hAnsi="仿宋_GB2312" w:eastAsia="仿宋_GB2312" w:cs="仿宋_GB2312"/>
                <w:b/>
                <w:bCs/>
                <w:color w:val="000000"/>
                <w:kern w:val="0"/>
                <w:sz w:val="32"/>
                <w:szCs w:val="32"/>
                <w:lang w:val="en-US" w:eastAsia="zh-CN" w:bidi="ar"/>
              </w:rPr>
            </w:pPr>
            <w:r>
              <w:rPr>
                <w:rFonts w:hint="eastAsia" w:ascii="仿宋_GB2312" w:hAnsi="仿宋_GB2312" w:eastAsia="仿宋_GB2312" w:cs="仿宋_GB2312"/>
                <w:b/>
                <w:bCs/>
                <w:color w:val="000000"/>
                <w:kern w:val="0"/>
                <w:sz w:val="32"/>
                <w:szCs w:val="32"/>
                <w:lang w:val="en-US" w:eastAsia="zh-CN" w:bidi="ar"/>
              </w:rPr>
              <w:t>3.抓作风，监督党员有力</w:t>
            </w:r>
          </w:p>
          <w:p w14:paraId="31BC1A24">
            <w:pPr>
              <w:widowControl/>
              <w:ind w:firstLine="640" w:firstLineChars="200"/>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充分依据党章党规党纪法规制度有力监督和规范党员行为，教育引导党员模范遵守教师职业道德规范、践行学术道德、严守纪律底线。坚持把纪律和规矩挺在前面，监督党员履行义务、遵规守纪及时到位。</w:t>
            </w:r>
            <w:r>
              <w:rPr>
                <w:rFonts w:hint="eastAsia" w:ascii="仿宋_GB2312" w:hAnsi="仿宋_GB2312" w:eastAsia="仿宋_GB2312"/>
                <w:sz w:val="32"/>
                <w:szCs w:val="32"/>
              </w:rPr>
              <w:t>落实教学过程中党建监督，</w:t>
            </w:r>
            <w:r>
              <w:rPr>
                <w:rFonts w:hint="eastAsia" w:ascii="仿宋_GB2312" w:hAnsi="仿宋_GB2312" w:eastAsia="仿宋_GB2312"/>
                <w:sz w:val="32"/>
                <w:szCs w:val="32"/>
                <w:lang w:val="en-US" w:eastAsia="zh-CN"/>
              </w:rPr>
              <w:t>党支部</w:t>
            </w:r>
            <w:r>
              <w:rPr>
                <w:rFonts w:hint="eastAsia" w:ascii="仿宋_GB2312" w:hAnsi="仿宋_GB2312" w:eastAsia="仿宋_GB2312"/>
                <w:sz w:val="32"/>
                <w:szCs w:val="32"/>
              </w:rPr>
              <w:t>严格审核</w:t>
            </w:r>
            <w:r>
              <w:rPr>
                <w:rFonts w:hint="eastAsia" w:ascii="仿宋_GB2312" w:hAnsi="仿宋_GB2312" w:eastAsia="仿宋_GB2312"/>
                <w:sz w:val="32"/>
                <w:szCs w:val="32"/>
                <w:lang w:val="en-US" w:eastAsia="zh-CN"/>
              </w:rPr>
              <w:t>三个专业</w:t>
            </w:r>
            <w:r>
              <w:rPr>
                <w:rFonts w:hint="eastAsia" w:ascii="仿宋_GB2312" w:hAnsi="仿宋_GB2312" w:eastAsia="仿宋_GB2312"/>
                <w:sz w:val="32"/>
                <w:szCs w:val="32"/>
              </w:rPr>
              <w:t>人才培养方案</w:t>
            </w:r>
            <w:r>
              <w:rPr>
                <w:rFonts w:hint="eastAsia" w:ascii="仿宋_GB2312" w:hAnsi="仿宋_GB2312" w:eastAsia="仿宋_GB2312"/>
                <w:sz w:val="32"/>
                <w:szCs w:val="32"/>
                <w:lang w:val="en-US" w:eastAsia="zh-CN"/>
              </w:rPr>
              <w:t>及每学期</w:t>
            </w:r>
            <w:r>
              <w:rPr>
                <w:rFonts w:hint="eastAsia" w:ascii="仿宋_GB2312" w:hAnsi="仿宋_GB2312" w:eastAsia="仿宋_GB2312"/>
                <w:sz w:val="32"/>
                <w:szCs w:val="32"/>
              </w:rPr>
              <w:t>教材审定</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支部</w:t>
            </w:r>
            <w:r>
              <w:rPr>
                <w:rFonts w:hint="eastAsia" w:ascii="仿宋_GB2312" w:hAnsi="仿宋_GB2312" w:eastAsia="仿宋_GB2312"/>
                <w:sz w:val="32"/>
                <w:szCs w:val="32"/>
              </w:rPr>
              <w:t>注重</w:t>
            </w:r>
            <w:r>
              <w:rPr>
                <w:rFonts w:hint="eastAsia" w:ascii="仿宋_GB2312" w:hAnsi="仿宋_GB2312" w:eastAsia="仿宋_GB2312"/>
                <w:sz w:val="32"/>
                <w:szCs w:val="32"/>
                <w:lang w:val="en-US" w:eastAsia="zh-CN"/>
              </w:rPr>
              <w:t>开展</w:t>
            </w:r>
            <w:r>
              <w:rPr>
                <w:rFonts w:hint="eastAsia" w:ascii="仿宋_GB2312" w:hAnsi="仿宋_GB2312" w:eastAsia="仿宋_GB2312"/>
                <w:sz w:val="32"/>
                <w:szCs w:val="32"/>
              </w:rPr>
              <w:t>廉</w:t>
            </w:r>
            <w:r>
              <w:rPr>
                <w:rFonts w:hint="eastAsia" w:ascii="仿宋_GB2312" w:hAnsi="仿宋_GB2312" w:eastAsia="仿宋_GB2312"/>
                <w:sz w:val="32"/>
                <w:szCs w:val="32"/>
                <w:lang w:val="en-US" w:eastAsia="zh-CN"/>
              </w:rPr>
              <w:t>洁</w:t>
            </w:r>
            <w:r>
              <w:rPr>
                <w:rFonts w:hint="eastAsia" w:ascii="仿宋_GB2312" w:hAnsi="仿宋_GB2312" w:eastAsia="仿宋_GB2312"/>
                <w:sz w:val="32"/>
                <w:szCs w:val="32"/>
              </w:rPr>
              <w:t>教育，与重点岗位人员和项目负责人员开展廉洁谈话，组织学生积极参加学院廉洁教育文化作品比赛，支部师生共计报送作品1</w:t>
            </w:r>
            <w:r>
              <w:rPr>
                <w:rFonts w:ascii="仿宋_GB2312" w:hAnsi="仿宋_GB2312" w:eastAsia="仿宋_GB2312"/>
                <w:sz w:val="32"/>
                <w:szCs w:val="32"/>
              </w:rPr>
              <w:t>00</w:t>
            </w:r>
            <w:r>
              <w:rPr>
                <w:rFonts w:hint="eastAsia" w:ascii="仿宋_GB2312" w:hAnsi="仿宋_GB2312" w:eastAsia="仿宋_GB2312"/>
                <w:sz w:val="32"/>
                <w:szCs w:val="32"/>
              </w:rPr>
              <w:t>余件，并取得</w:t>
            </w:r>
            <w:r>
              <w:rPr>
                <w:rFonts w:hint="eastAsia" w:ascii="仿宋_GB2312" w:hAnsi="仿宋_GB2312" w:eastAsia="仿宋_GB2312"/>
                <w:sz w:val="32"/>
                <w:szCs w:val="32"/>
                <w:lang w:val="en-US" w:eastAsia="zh-CN"/>
              </w:rPr>
              <w:t>优秀组织奖的</w:t>
            </w:r>
            <w:r>
              <w:rPr>
                <w:rFonts w:hint="eastAsia" w:ascii="仿宋_GB2312" w:hAnsi="仿宋_GB2312" w:eastAsia="仿宋_GB2312"/>
                <w:sz w:val="32"/>
                <w:szCs w:val="32"/>
              </w:rPr>
              <w:t>好成绩。</w:t>
            </w:r>
          </w:p>
          <w:p w14:paraId="2EFDF767">
            <w:pPr>
              <w:widowControl/>
              <w:ind w:firstLine="643" w:firstLineChars="200"/>
              <w:rPr>
                <w:rFonts w:hint="eastAsia" w:ascii="仿宋_GB2312" w:hAnsi="仿宋_GB2312" w:eastAsia="仿宋_GB2312" w:cs="仿宋_GB2312"/>
                <w:b/>
                <w:bCs/>
                <w:color w:val="000000"/>
                <w:kern w:val="0"/>
                <w:sz w:val="32"/>
                <w:szCs w:val="32"/>
                <w:lang w:val="en-US" w:eastAsia="zh-CN" w:bidi="ar"/>
              </w:rPr>
            </w:pPr>
            <w:r>
              <w:rPr>
                <w:rFonts w:hint="eastAsia" w:ascii="仿宋_GB2312" w:hAnsi="仿宋_GB2312" w:eastAsia="仿宋_GB2312" w:cs="仿宋_GB2312"/>
                <w:b/>
                <w:bCs/>
                <w:color w:val="000000"/>
                <w:kern w:val="0"/>
                <w:sz w:val="32"/>
                <w:szCs w:val="32"/>
                <w:lang w:val="en-US" w:eastAsia="zh-CN" w:bidi="ar"/>
              </w:rPr>
              <w:t>4.抓示范，组织师生有力</w:t>
            </w:r>
          </w:p>
          <w:p w14:paraId="030E83F8">
            <w:pPr>
              <w:widowControl/>
              <w:ind w:firstLine="640" w:firstLineChars="200"/>
              <w:rPr>
                <w:rFonts w:hint="default"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坚持将党建与教学、科研和社会服务工作深度结合，建成了“广元造”综合服务平台、科教融汇平台和产教融合平台。引领师生积极参与双高建设、教改科研和社会服务等重点工作。两年建设期间，学生参加各类技能大赛获省级奖项53项，教师科研立项、教学改革和社会服务成效有了明显提升。</w:t>
            </w:r>
          </w:p>
          <w:p w14:paraId="7D66485B">
            <w:pPr>
              <w:widowControl/>
              <w:ind w:firstLine="643" w:firstLineChars="200"/>
              <w:rPr>
                <w:rFonts w:hint="eastAsia" w:ascii="仿宋_GB2312" w:hAnsi="仿宋_GB2312" w:eastAsia="仿宋_GB2312" w:cs="仿宋_GB2312"/>
                <w:b/>
                <w:bCs/>
                <w:color w:val="000000"/>
                <w:kern w:val="0"/>
                <w:sz w:val="32"/>
                <w:szCs w:val="32"/>
                <w:lang w:val="en-US" w:eastAsia="zh-CN" w:bidi="ar"/>
              </w:rPr>
            </w:pPr>
            <w:r>
              <w:rPr>
                <w:rFonts w:hint="eastAsia" w:ascii="仿宋_GB2312" w:hAnsi="仿宋_GB2312" w:eastAsia="仿宋_GB2312" w:cs="仿宋_GB2312"/>
                <w:b/>
                <w:bCs/>
                <w:color w:val="000000"/>
                <w:kern w:val="0"/>
                <w:sz w:val="32"/>
                <w:szCs w:val="32"/>
                <w:lang w:val="en-US" w:eastAsia="zh-CN" w:bidi="ar"/>
              </w:rPr>
              <w:t>5.抓思想，宣传师生有力</w:t>
            </w:r>
          </w:p>
          <w:p w14:paraId="6C69F440">
            <w:pPr>
              <w:widowControl/>
              <w:ind w:firstLine="640" w:firstLineChars="200"/>
              <w:rPr>
                <w:rFonts w:hint="default"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认真组织开展主题教育，贯彻落实党的路线方针政策，及时传达落实上级党组织相关决议，引导师生从思想上政治上行动上同以习近平同志为核心的党中央保持高度一致。支部相关工作在四川省新闻网、广元日报等媒体均有报道。</w:t>
            </w:r>
            <w:r>
              <w:rPr>
                <w:rFonts w:ascii="仿宋_GB2312" w:hAnsi="仿宋_GB2312" w:eastAsia="仿宋_GB2312"/>
                <w:sz w:val="32"/>
                <w:szCs w:val="32"/>
              </w:rPr>
              <w:t>摄制《忆初心担使命石锣锅渡口红色故事》《喜迎二十大 同心跟党走》微视频2部，</w:t>
            </w:r>
            <w:r>
              <w:rPr>
                <w:rFonts w:hint="eastAsia" w:ascii="仿宋_GB2312" w:hAnsi="仿宋_GB2312" w:eastAsia="仿宋_GB2312"/>
                <w:sz w:val="32"/>
                <w:szCs w:val="32"/>
                <w:lang w:eastAsia="zh-CN"/>
              </w:rPr>
              <w:t>拍摄《青年党员说》视频</w:t>
            </w:r>
            <w:r>
              <w:rPr>
                <w:rFonts w:hint="eastAsia" w:ascii="仿宋_GB2312" w:hAnsi="仿宋_GB2312" w:eastAsia="仿宋_GB2312"/>
                <w:sz w:val="32"/>
                <w:szCs w:val="32"/>
                <w:lang w:val="en-US" w:eastAsia="zh-CN"/>
              </w:rPr>
              <w:t>2部</w:t>
            </w:r>
            <w:r>
              <w:rPr>
                <w:rFonts w:ascii="仿宋_GB2312" w:hAnsi="仿宋_GB2312" w:eastAsia="仿宋_GB2312"/>
                <w:sz w:val="32"/>
                <w:szCs w:val="32"/>
              </w:rPr>
              <w:t>。</w:t>
            </w:r>
          </w:p>
          <w:p w14:paraId="74F5DC6B">
            <w:pPr>
              <w:widowControl/>
              <w:ind w:firstLine="643" w:firstLineChars="200"/>
              <w:rPr>
                <w:rFonts w:hint="eastAsia" w:ascii="仿宋_GB2312" w:hAnsi="仿宋_GB2312" w:eastAsia="仿宋_GB2312" w:cs="仿宋_GB2312"/>
                <w:b/>
                <w:bCs/>
                <w:color w:val="000000"/>
                <w:kern w:val="0"/>
                <w:sz w:val="32"/>
                <w:szCs w:val="32"/>
                <w:lang w:val="en-US" w:eastAsia="zh-CN" w:bidi="ar"/>
              </w:rPr>
            </w:pPr>
            <w:r>
              <w:rPr>
                <w:rFonts w:hint="eastAsia" w:ascii="仿宋_GB2312" w:hAnsi="仿宋_GB2312" w:eastAsia="仿宋_GB2312" w:cs="仿宋_GB2312"/>
                <w:b/>
                <w:bCs/>
                <w:color w:val="000000"/>
                <w:kern w:val="0"/>
                <w:sz w:val="32"/>
                <w:szCs w:val="32"/>
                <w:lang w:val="en-US" w:eastAsia="zh-CN" w:bidi="ar"/>
              </w:rPr>
              <w:t>6.抓特色，凝聚师生有力</w:t>
            </w:r>
          </w:p>
          <w:p w14:paraId="0962D2BD">
            <w:pPr>
              <w:widowControl/>
              <w:ind w:firstLine="640" w:firstLineChars="200"/>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加强“课程思政”建设，把社会主义核心价值观培育践行贯彻教育、教学、科研、社会服务全过程。立项省级课程思政教学研究中心1个，建成省级思政示范课程1门。依托“广元造”三个品牌平台，邀请行业、企业技术专家以及优秀教师等参与课程思政建设、大创比赛指导、开展前沿讲座等活动5次，培育学生志存高远的工匠精神和优良品德。</w:t>
            </w:r>
          </w:p>
          <w:p w14:paraId="6302552D">
            <w:pPr>
              <w:widowControl/>
              <w:ind w:firstLine="643" w:firstLineChars="200"/>
              <w:rPr>
                <w:rFonts w:hint="eastAsia" w:ascii="仿宋_GB2312" w:hAnsi="仿宋_GB2312" w:eastAsia="仿宋_GB2312" w:cs="仿宋_GB2312"/>
                <w:b/>
                <w:bCs/>
                <w:color w:val="000000"/>
                <w:kern w:val="0"/>
                <w:sz w:val="32"/>
                <w:szCs w:val="32"/>
                <w:lang w:val="en-US" w:eastAsia="zh-CN" w:bidi="ar"/>
              </w:rPr>
            </w:pPr>
            <w:r>
              <w:rPr>
                <w:rFonts w:hint="eastAsia" w:ascii="仿宋_GB2312" w:hAnsi="仿宋_GB2312" w:eastAsia="仿宋_GB2312" w:cs="仿宋_GB2312"/>
                <w:b/>
                <w:bCs/>
                <w:color w:val="000000"/>
                <w:kern w:val="0"/>
                <w:sz w:val="32"/>
                <w:szCs w:val="32"/>
                <w:lang w:val="en-US" w:eastAsia="zh-CN" w:bidi="ar"/>
              </w:rPr>
              <w:t>7.抓基础，服务师生有力</w:t>
            </w:r>
          </w:p>
          <w:p w14:paraId="772C8B21">
            <w:pPr>
              <w:ind w:firstLine="640" w:firstLineChars="200"/>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以党支部建设带动团支部、分工会的建设，形成有效合力。</w:t>
            </w:r>
            <w:r>
              <w:rPr>
                <w:rFonts w:ascii="仿宋_GB2312" w:hAnsi="仿宋_GB2312" w:eastAsia="仿宋_GB2312"/>
                <w:sz w:val="32"/>
                <w:szCs w:val="32"/>
              </w:rPr>
              <w:t>学院团总支荣获广元市五四红旗团总支，2022年大学生暑期社会实践活动优秀团队</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2023年度学院学生会获得校级优秀学生会。</w:t>
            </w:r>
            <w:r>
              <w:rPr>
                <w:rFonts w:hint="eastAsia" w:ascii="仿宋_GB2312" w:hAnsi="仿宋_GB2312" w:eastAsia="仿宋_GB2312" w:cs="仿宋_GB2312"/>
                <w:color w:val="000000"/>
                <w:kern w:val="0"/>
                <w:sz w:val="32"/>
                <w:szCs w:val="32"/>
                <w:lang w:val="en-US" w:eastAsia="zh-CN" w:bidi="ar"/>
              </w:rPr>
              <w:t>持续开展“三联系制度”，深入推进“我为师生办实事”工作，形成师生有困难找支部、有问题找党员的有效机制，真正把支部建成党员之家、师生之家，切实增强了师生归属感、获得感。</w:t>
            </w:r>
          </w:p>
          <w:p w14:paraId="2681E37D">
            <w:pPr>
              <w:ind w:firstLine="640" w:firstLineChars="200"/>
              <w:rPr>
                <w:rFonts w:hint="eastAsia" w:ascii="仿宋_GB2312" w:hAnsi="仿宋_GB2312" w:eastAsia="仿宋_GB2312" w:cs="仿宋_GB2312"/>
                <w:color w:val="000000"/>
                <w:kern w:val="0"/>
                <w:sz w:val="32"/>
                <w:szCs w:val="32"/>
                <w:lang w:val="en-US" w:eastAsia="zh-CN" w:bidi="ar"/>
              </w:rPr>
            </w:pPr>
          </w:p>
          <w:p w14:paraId="225C08A1">
            <w:pPr>
              <w:ind w:firstLine="640" w:firstLineChars="200"/>
              <w:rPr>
                <w:rFonts w:hint="eastAsia" w:ascii="仿宋_GB2312" w:hAnsi="仿宋_GB2312" w:eastAsia="仿宋_GB2312" w:cs="仿宋_GB2312"/>
                <w:color w:val="000000"/>
                <w:kern w:val="0"/>
                <w:sz w:val="32"/>
                <w:szCs w:val="32"/>
                <w:lang w:val="en-US" w:eastAsia="zh-CN" w:bidi="ar"/>
              </w:rPr>
            </w:pPr>
          </w:p>
          <w:p w14:paraId="35474356">
            <w:pPr>
              <w:ind w:firstLine="640" w:firstLineChars="200"/>
              <w:rPr>
                <w:rFonts w:hint="eastAsia" w:ascii="仿宋_GB2312" w:hAnsi="仿宋_GB2312" w:eastAsia="仿宋_GB2312" w:cs="仿宋_GB2312"/>
                <w:color w:val="000000"/>
                <w:kern w:val="0"/>
                <w:sz w:val="32"/>
                <w:szCs w:val="32"/>
                <w:lang w:val="en-US" w:eastAsia="zh-CN" w:bidi="ar"/>
              </w:rPr>
            </w:pPr>
          </w:p>
          <w:p w14:paraId="533F7396">
            <w:pPr>
              <w:ind w:firstLine="640" w:firstLineChars="200"/>
              <w:rPr>
                <w:rFonts w:hint="eastAsia" w:ascii="仿宋_GB2312" w:hAnsi="仿宋_GB2312" w:eastAsia="仿宋_GB2312" w:cs="仿宋_GB2312"/>
                <w:color w:val="000000"/>
                <w:kern w:val="0"/>
                <w:sz w:val="32"/>
                <w:szCs w:val="32"/>
                <w:lang w:val="en-US" w:eastAsia="zh-CN" w:bidi="ar"/>
              </w:rPr>
            </w:pPr>
          </w:p>
        </w:tc>
      </w:tr>
      <w:tr w14:paraId="3CD84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0" w:type="dxa"/>
          </w:tcPr>
          <w:p w14:paraId="66FEA22D">
            <w:pPr>
              <w:widowControl/>
              <w:rPr>
                <w:rFonts w:ascii="楷体" w:hAnsi="楷体" w:eastAsia="楷体" w:cs="楷体"/>
                <w:b/>
                <w:bCs/>
                <w:sz w:val="32"/>
                <w:szCs w:val="32"/>
              </w:rPr>
            </w:pPr>
            <w:r>
              <w:rPr>
                <w:rFonts w:hint="eastAsia" w:ascii="楷体" w:hAnsi="楷体" w:eastAsia="楷体" w:cs="楷体"/>
                <w:b/>
                <w:bCs/>
                <w:sz w:val="32"/>
                <w:szCs w:val="32"/>
              </w:rPr>
              <w:t xml:space="preserve">（二）重要措施落实情况清单 </w:t>
            </w:r>
          </w:p>
          <w:p w14:paraId="5712DF4F">
            <w:pPr>
              <w:keepNext w:val="0"/>
              <w:keepLines w:val="0"/>
              <w:pageBreakBefore w:val="0"/>
              <w:widowControl/>
              <w:suppressLineNumbers w:val="0"/>
              <w:kinsoku/>
              <w:wordWrap/>
              <w:overflowPunct/>
              <w:topLinePunct w:val="0"/>
              <w:autoSpaceDE/>
              <w:autoSpaceDN/>
              <w:bidi w:val="0"/>
              <w:adjustRightInd/>
              <w:snapToGrid/>
              <w:ind w:firstLine="643" w:firstLineChars="200"/>
              <w:jc w:val="both"/>
              <w:textAlignment w:val="auto"/>
              <w:rPr>
                <w:rFonts w:hint="eastAsia" w:ascii="仿宋_GB2312" w:hAnsi="仿宋_GB2312" w:eastAsia="仿宋_GB2312" w:cs="仿宋_GB2312"/>
                <w:b/>
                <w:bCs/>
                <w:color w:val="000000"/>
                <w:kern w:val="0"/>
                <w:sz w:val="32"/>
                <w:szCs w:val="32"/>
                <w:lang w:val="en-US" w:eastAsia="zh-CN" w:bidi="ar"/>
              </w:rPr>
            </w:pPr>
            <w:r>
              <w:rPr>
                <w:rFonts w:hint="eastAsia" w:ascii="仿宋_GB2312" w:hAnsi="仿宋_GB2312" w:eastAsia="仿宋_GB2312" w:cs="仿宋_GB2312"/>
                <w:b/>
                <w:bCs/>
                <w:color w:val="000000"/>
                <w:kern w:val="0"/>
                <w:sz w:val="32"/>
                <w:szCs w:val="32"/>
                <w:lang w:val="en-US" w:eastAsia="zh-CN" w:bidi="ar"/>
              </w:rPr>
              <w:t>1. 体制机制、组织机构与队伍建设方面</w:t>
            </w:r>
          </w:p>
          <w:p w14:paraId="41EE07E1">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一是健全体制机制。学院党总支高度重视“双创”工作，党支部在党总支监督下严格履行党建工作责任制，认真落实书记抓党建工作第一责任，做好《党章》《中国共产党支部工作条例（试行）》 等党内法规和制度的贯彻落实，通过不定期向总支汇报“学校党建工作样板支部”（以下简称“样板支部”）的培育建设情况，形成了党总支、党支部及党员共同参与、协同推进的运行体系，实现创建工作的创新与突破。 </w:t>
            </w:r>
          </w:p>
          <w:p w14:paraId="00F19E45">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二是完善组织机构。为做好创建工作，支委成立了创建工作建设小组，在学院党总支领导下开展创建工作，具体负责创建工作的组织、规划与部署，对“样板支部”创建实施落实具体工作；支部</w:t>
            </w:r>
            <w:r>
              <w:rPr>
                <w:rFonts w:hint="default" w:ascii="仿宋_GB2312" w:hAnsi="仿宋_GB2312" w:eastAsia="仿宋_GB2312" w:cs="仿宋_GB2312"/>
                <w:color w:val="000000"/>
                <w:kern w:val="0"/>
                <w:sz w:val="32"/>
                <w:szCs w:val="32"/>
                <w:lang w:val="en-US" w:eastAsia="zh-CN" w:bidi="ar"/>
              </w:rPr>
              <w:t>3</w:t>
            </w:r>
            <w:r>
              <w:rPr>
                <w:rFonts w:hint="eastAsia" w:ascii="仿宋_GB2312" w:hAnsi="仿宋_GB2312" w:eastAsia="仿宋_GB2312" w:cs="仿宋_GB2312"/>
                <w:color w:val="000000"/>
                <w:kern w:val="0"/>
                <w:sz w:val="32"/>
                <w:szCs w:val="32"/>
                <w:lang w:val="en-US" w:eastAsia="zh-CN" w:bidi="ar"/>
              </w:rPr>
              <w:t xml:space="preserve">个支委分工明确、各司其职，提前组织，工作落实到位，形成学院党总支、党支部及党员齐抓共管的三级创建组织机构，为创建工作提供了组织保障。 </w:t>
            </w:r>
          </w:p>
          <w:p w14:paraId="16C95101">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三是强化队伍建设。根据学院发展的实际，对支部设置进行调整，建设师生党支部，强化“双带头人”培育，不断增强班子和队伍建设。伴随学院专业发展和调整，支部由原来的市场营销、电子商务两个专业扩大为电子商务、市场营销和物流管理三个专业，支部规模不断扩大，支部更名为“电商物流党支部”。支部将党的理论学习作为首要任务，精心策划和组织了-系列学习活动。首先，建立健全了党员学习制度，确保学习计划明确、学习进度有序。通过每月定期开展集中学习深入解读党的方针政策。为增强学习的趣味性和实效性，充分利用“学习强国”“学习公社”等线上平台，结合案例、微视频、慕课等多种形式，丰富了学习内容，提升了党员的学习积极性。同时，我们还特别注重将理论学习与实践相结合，通过外出研学、实地考察等活动，让党员在亲身体验中深化对党的理论的认识和理解。党员干部开展党建党务培训及教育教学改革等举措不断提高队伍的政治素养和业务能力，为“样板支部”培育创建提供队伍保障。</w:t>
            </w:r>
          </w:p>
          <w:p w14:paraId="3485BE34">
            <w:pPr>
              <w:keepNext w:val="0"/>
              <w:keepLines w:val="0"/>
              <w:pageBreakBefore w:val="0"/>
              <w:widowControl/>
              <w:numPr>
                <w:ilvl w:val="0"/>
                <w:numId w:val="1"/>
              </w:numPr>
              <w:suppressLineNumbers w:val="0"/>
              <w:kinsoku/>
              <w:wordWrap/>
              <w:overflowPunct/>
              <w:topLinePunct w:val="0"/>
              <w:autoSpaceDE/>
              <w:autoSpaceDN/>
              <w:bidi w:val="0"/>
              <w:adjustRightInd/>
              <w:snapToGrid/>
              <w:ind w:firstLine="643" w:firstLineChars="200"/>
              <w:jc w:val="both"/>
              <w:textAlignment w:val="auto"/>
              <w:rPr>
                <w:rFonts w:hint="eastAsia" w:ascii="仿宋_GB2312" w:hAnsi="仿宋_GB2312" w:eastAsia="仿宋_GB2312" w:cs="仿宋_GB2312"/>
                <w:b/>
                <w:bCs/>
                <w:color w:val="000000"/>
                <w:kern w:val="0"/>
                <w:sz w:val="32"/>
                <w:szCs w:val="32"/>
                <w:lang w:val="en-US" w:eastAsia="zh-CN" w:bidi="ar"/>
              </w:rPr>
            </w:pPr>
            <w:r>
              <w:rPr>
                <w:rFonts w:hint="eastAsia" w:ascii="仿宋_GB2312" w:hAnsi="仿宋_GB2312" w:eastAsia="仿宋_GB2312" w:cs="仿宋_GB2312"/>
                <w:b/>
                <w:bCs/>
                <w:color w:val="000000"/>
                <w:kern w:val="0"/>
                <w:sz w:val="32"/>
                <w:szCs w:val="32"/>
                <w:lang w:val="en-US" w:eastAsia="zh-CN" w:bidi="ar"/>
              </w:rPr>
              <w:t>资源投入、硬件设施与经费支持方面</w:t>
            </w:r>
          </w:p>
          <w:p w14:paraId="50D727F6">
            <w:pPr>
              <w:keepNext w:val="0"/>
              <w:keepLines w:val="0"/>
              <w:pageBreakBefore w:val="0"/>
              <w:widowControl/>
              <w:numPr>
                <w:ilvl w:val="0"/>
                <w:numId w:val="0"/>
              </w:numPr>
              <w:suppressLineNumbers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一是加大资源投入。为保证“样板支部”培育创建取得实效，学院在人力、财力、物力及政策保障等方面都给予大力支持，无论是政策支持与组织保障，还是队伍结构的优化、素质的提升，包括创建活动各项经费的投入以及党员外出学习交流等方面均给予了有力支持，为“样板支部”各项创建工作任务的顺利完成奠定了坚实基础。 </w:t>
            </w:r>
          </w:p>
          <w:p w14:paraId="19BE45EC">
            <w:pPr>
              <w:keepNext w:val="0"/>
              <w:keepLines w:val="0"/>
              <w:pageBreakBefore w:val="0"/>
              <w:widowControl/>
              <w:numPr>
                <w:ilvl w:val="0"/>
                <w:numId w:val="0"/>
              </w:numPr>
              <w:suppressLineNumbers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二是完善硬件设施。在学院的大力支持下，数字经济学院电商物流党支部“党员文化阵地”重新装修并投入使用，打造了党员学习活动的空间。</w:t>
            </w:r>
          </w:p>
          <w:p w14:paraId="18E38AD8">
            <w:pPr>
              <w:keepNext w:val="0"/>
              <w:keepLines w:val="0"/>
              <w:pageBreakBefore w:val="0"/>
              <w:widowControl/>
              <w:numPr>
                <w:ilvl w:val="0"/>
                <w:numId w:val="0"/>
              </w:numPr>
              <w:suppressLineNumbers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三是提供经费支持。培育创建期间，上级党委和学院在“样板支部”各项创建活动中的经费支持近4万余元，确保了各项创建工作任务的圆满完成。</w:t>
            </w:r>
          </w:p>
          <w:p w14:paraId="7593C223">
            <w:pPr>
              <w:keepNext w:val="0"/>
              <w:keepLines w:val="0"/>
              <w:pageBreakBefore w:val="0"/>
              <w:widowControl/>
              <w:numPr>
                <w:ilvl w:val="0"/>
                <w:numId w:val="0"/>
              </w:numPr>
              <w:suppressLineNumbers w:val="0"/>
              <w:kinsoku/>
              <w:wordWrap/>
              <w:overflowPunct/>
              <w:topLinePunct w:val="0"/>
              <w:autoSpaceDE/>
              <w:autoSpaceDN/>
              <w:bidi w:val="0"/>
              <w:adjustRightInd/>
              <w:snapToGrid/>
              <w:ind w:firstLine="643" w:firstLineChars="200"/>
              <w:jc w:val="both"/>
              <w:textAlignment w:val="auto"/>
              <w:rPr>
                <w:rFonts w:hint="eastAsia" w:ascii="仿宋_GB2312" w:hAnsi="仿宋_GB2312" w:eastAsia="仿宋_GB2312" w:cs="仿宋_GB2312"/>
                <w:b/>
                <w:bCs/>
                <w:color w:val="000000"/>
                <w:kern w:val="0"/>
                <w:sz w:val="32"/>
                <w:szCs w:val="32"/>
                <w:lang w:val="en-US" w:eastAsia="zh-CN" w:bidi="ar"/>
              </w:rPr>
            </w:pPr>
            <w:r>
              <w:rPr>
                <w:rFonts w:hint="eastAsia" w:ascii="仿宋_GB2312" w:hAnsi="仿宋_GB2312" w:eastAsia="仿宋_GB2312" w:cs="仿宋_GB2312"/>
                <w:b/>
                <w:bCs/>
                <w:color w:val="000000"/>
                <w:kern w:val="0"/>
                <w:sz w:val="32"/>
                <w:szCs w:val="32"/>
                <w:lang w:val="en-US" w:eastAsia="zh-CN" w:bidi="ar"/>
              </w:rPr>
              <w:t>3.创新思路和建设措施</w:t>
            </w:r>
          </w:p>
          <w:p w14:paraId="0BCB989C">
            <w:pPr>
              <w:widowControl/>
              <w:ind w:firstLine="482" w:firstLineChars="200"/>
              <w:rPr>
                <w:rFonts w:hint="eastAsia" w:ascii="仿宋_GB2312" w:hAnsi="仿宋_GB2312" w:eastAsia="仿宋_GB2312" w:cs="仿宋_GB2312"/>
                <w:color w:val="000000"/>
                <w:kern w:val="0"/>
                <w:sz w:val="32"/>
                <w:szCs w:val="32"/>
                <w:lang w:val="en-US" w:eastAsia="zh-CN" w:bidi="ar"/>
              </w:rPr>
            </w:pPr>
            <w:r>
              <w:rPr>
                <w:rFonts w:ascii="仿宋_GB2312" w:hAnsi="仿宋_GB2312" w:eastAsia="仿宋_GB2312" w:cs="仿宋_GB2312"/>
                <w:b/>
                <w:bCs/>
                <w:color w:val="000000"/>
                <w:sz w:val="24"/>
                <w:szCs w:val="24"/>
              </w:rPr>
              <w:t xml:space="preserve"> </w:t>
            </w:r>
            <w:r>
              <w:rPr>
                <w:rFonts w:hint="eastAsia" w:ascii="仿宋_GB2312" w:hAnsi="仿宋_GB2312" w:eastAsia="仿宋_GB2312" w:cs="仿宋_GB2312"/>
                <w:color w:val="000000"/>
                <w:kern w:val="0"/>
                <w:sz w:val="32"/>
                <w:szCs w:val="32"/>
                <w:lang w:val="en-US" w:eastAsia="zh-CN" w:bidi="ar"/>
              </w:rPr>
              <w:t>在学校党委的坚强领导和全面指导下，数字经济学院党总支的指导监督下，电商物流党支部认真贯彻落实党的二十大精神和习近平总书记系列重要讲话精神，将新时代党的建设总要求贯穿于教育教学的全过程，不断健全完善党组织领导和运行机制，坚持立德树人根本任务，围绕党的二十届三中全会精神、新中国成立75周年、建党103周年等重要节点，精心策划和组织了一系列主题党日活动。通过参观红色教育基地、开展志愿服务、举办主题演讲比赛等方式，我们引导党员在参与中受教育、在奉献中增党性，进一步夯实了支部基础。</w:t>
            </w:r>
          </w:p>
          <w:p w14:paraId="67FA7636">
            <w:pPr>
              <w:widowControl/>
              <w:ind w:firstLine="640" w:firstLineChars="200"/>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一是打造了“1+N”支部共建创新品牌。两年建设以来，与中共四川省苍溪县职业高级中学第五支部委员，四川省节能监管事务中心党支部建成了联合党支部并开展教学交流、业务指导等支部共建活动。</w:t>
            </w:r>
          </w:p>
          <w:p w14:paraId="60682155">
            <w:pPr>
              <w:widowControl/>
              <w:ind w:firstLine="640" w:firstLineChars="200"/>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二是打造服务地方经济特色品牌。共建成“广元造”综合服务平台、科教融汇平台和产教融合平台，树立了地方产教融合新标杆。</w:t>
            </w:r>
          </w:p>
          <w:p w14:paraId="6A2E4B56">
            <w:pPr>
              <w:widowControl/>
              <w:ind w:firstLine="640" w:firstLineChars="200"/>
              <w:rPr>
                <w:rFonts w:hint="default"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三是打造党员干部培育特色品牌。2023年支部被评为省级党建工作样板支部，2024年支部被评为广元市先进基层党组织。</w:t>
            </w:r>
          </w:p>
          <w:p w14:paraId="165D8910">
            <w:pPr>
              <w:widowControl/>
              <w:rPr>
                <w:rFonts w:ascii="仿宋_GB2312" w:hAnsi="仿宋_GB2312" w:eastAsia="仿宋_GB2312" w:cs="仿宋_GB2312"/>
                <w:sz w:val="28"/>
                <w:szCs w:val="28"/>
              </w:rPr>
            </w:pPr>
          </w:p>
          <w:p w14:paraId="15B1BE88">
            <w:pPr>
              <w:widowControl/>
              <w:rPr>
                <w:rFonts w:ascii="仿宋_GB2312" w:hAnsi="仿宋_GB2312" w:eastAsia="仿宋_GB2312" w:cs="仿宋_GB2312"/>
                <w:sz w:val="28"/>
                <w:szCs w:val="28"/>
              </w:rPr>
            </w:pPr>
          </w:p>
          <w:p w14:paraId="3C02F707">
            <w:pPr>
              <w:widowControl/>
              <w:rPr>
                <w:rFonts w:ascii="仿宋_GB2312" w:hAnsi="仿宋_GB2312" w:eastAsia="仿宋_GB2312" w:cs="仿宋_GB2312"/>
                <w:sz w:val="28"/>
                <w:szCs w:val="28"/>
              </w:rPr>
            </w:pPr>
          </w:p>
        </w:tc>
      </w:tr>
      <w:tr w14:paraId="66304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0" w:type="dxa"/>
          </w:tcPr>
          <w:p w14:paraId="2E7C7E1C">
            <w:pPr>
              <w:widowControl/>
              <w:rPr>
                <w:rFonts w:ascii="楷体" w:hAnsi="楷体" w:eastAsia="楷体" w:cs="楷体"/>
                <w:b/>
                <w:bCs/>
                <w:sz w:val="32"/>
                <w:szCs w:val="32"/>
              </w:rPr>
            </w:pPr>
            <w:r>
              <w:rPr>
                <w:rFonts w:hint="eastAsia" w:ascii="楷体" w:hAnsi="楷体" w:eastAsia="楷体" w:cs="楷体"/>
                <w:b/>
                <w:bCs/>
                <w:sz w:val="32"/>
                <w:szCs w:val="32"/>
              </w:rPr>
              <w:t xml:space="preserve">（三）示范作用发挥情况清单 </w:t>
            </w:r>
          </w:p>
          <w:p w14:paraId="26055373">
            <w:pPr>
              <w:widowControl/>
              <w:rPr>
                <w:rFonts w:ascii="仿宋_GB2312" w:hAnsi="仿宋_GB2312" w:eastAsia="仿宋_GB2312" w:cs="仿宋_GB2312"/>
                <w:sz w:val="28"/>
                <w:szCs w:val="28"/>
              </w:rPr>
            </w:pPr>
            <w:r>
              <w:rPr>
                <w:rFonts w:hint="eastAsia" w:ascii="仿宋_GB2312" w:hAnsi="仿宋_GB2312" w:eastAsia="仿宋_GB2312" w:cs="仿宋_GB2312"/>
                <w:sz w:val="32"/>
                <w:szCs w:val="32"/>
              </w:rPr>
              <w:t>［说明：按条目列出建立的党建工作品牌、师生思想政治工作项目、育人载体，以及发表的论文、专著、微视频等标志性成果，介绍典型宣传、网络推介、案例推广情况］</w:t>
            </w:r>
            <w:r>
              <w:rPr>
                <w:rFonts w:hint="eastAsia" w:ascii="仿宋_GB2312" w:hAnsi="仿宋_GB2312" w:eastAsia="仿宋_GB2312" w:cs="仿宋_GB2312"/>
                <w:sz w:val="28"/>
                <w:szCs w:val="28"/>
              </w:rPr>
              <w:t xml:space="preserve"> </w:t>
            </w:r>
          </w:p>
          <w:p w14:paraId="34DC5069">
            <w:pPr>
              <w:keepNext w:val="0"/>
              <w:keepLines w:val="0"/>
              <w:pageBreakBefore w:val="0"/>
              <w:widowControl/>
              <w:numPr>
                <w:ilvl w:val="0"/>
                <w:numId w:val="0"/>
              </w:numPr>
              <w:suppressLineNumbers w:val="0"/>
              <w:kinsoku/>
              <w:wordWrap/>
              <w:overflowPunct/>
              <w:topLinePunct w:val="0"/>
              <w:autoSpaceDE/>
              <w:autoSpaceDN/>
              <w:bidi w:val="0"/>
              <w:adjustRightInd/>
              <w:snapToGrid/>
              <w:ind w:firstLine="643" w:firstLineChars="200"/>
              <w:jc w:val="both"/>
              <w:textAlignment w:val="auto"/>
              <w:rPr>
                <w:rFonts w:hint="eastAsia" w:ascii="仿宋_GB2312" w:hAnsi="仿宋_GB2312" w:eastAsia="仿宋_GB2312" w:cs="仿宋_GB2312"/>
                <w:b/>
                <w:bCs/>
                <w:color w:val="000000"/>
                <w:kern w:val="0"/>
                <w:sz w:val="32"/>
                <w:szCs w:val="32"/>
                <w:lang w:val="en-US" w:eastAsia="zh-CN" w:bidi="ar"/>
              </w:rPr>
            </w:pPr>
            <w:r>
              <w:rPr>
                <w:rFonts w:hint="eastAsia" w:ascii="仿宋_GB2312" w:hAnsi="仿宋_GB2312" w:eastAsia="仿宋_GB2312" w:cs="仿宋_GB2312"/>
                <w:b/>
                <w:bCs/>
                <w:color w:val="000000"/>
                <w:kern w:val="0"/>
                <w:sz w:val="32"/>
                <w:szCs w:val="32"/>
                <w:lang w:val="en-US" w:eastAsia="zh-CN" w:bidi="ar"/>
              </w:rPr>
              <w:t>1.党建引领提升人才培养质量</w:t>
            </w:r>
          </w:p>
          <w:p w14:paraId="5287CFC3">
            <w:pPr>
              <w:widowControl/>
              <w:ind w:firstLine="640" w:firstLineChars="200"/>
              <w:rPr>
                <w:rFonts w:hint="default"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2024年在校生满意度98.39%，毕业生满意度81%，教职工满意度100%，用人单位满意度94%，家长满意度98.01%。立项省级课程思政教学研究中心1个，学生参加各类技能大赛获省级奖项53项，建成省级思政示范课程1门，立项省部级教学改革项目6项，教师省级教学能力大赛省级获奖2项，省级教学成果二等奖1项。2023年和2024年学生就业率95.34%。</w:t>
            </w:r>
          </w:p>
          <w:p w14:paraId="23E564F4">
            <w:pPr>
              <w:keepNext w:val="0"/>
              <w:keepLines w:val="0"/>
              <w:pageBreakBefore w:val="0"/>
              <w:widowControl/>
              <w:numPr>
                <w:ilvl w:val="0"/>
                <w:numId w:val="0"/>
              </w:numPr>
              <w:suppressLineNumbers w:val="0"/>
              <w:kinsoku/>
              <w:wordWrap/>
              <w:overflowPunct/>
              <w:topLinePunct w:val="0"/>
              <w:autoSpaceDE/>
              <w:autoSpaceDN/>
              <w:bidi w:val="0"/>
              <w:adjustRightInd/>
              <w:snapToGrid/>
              <w:ind w:firstLine="643" w:firstLineChars="200"/>
              <w:jc w:val="both"/>
              <w:textAlignment w:val="auto"/>
              <w:rPr>
                <w:rFonts w:hint="eastAsia" w:ascii="仿宋_GB2312" w:hAnsi="仿宋_GB2312" w:eastAsia="仿宋_GB2312" w:cs="仿宋_GB2312"/>
                <w:b/>
                <w:bCs/>
                <w:color w:val="000000"/>
                <w:kern w:val="0"/>
                <w:sz w:val="32"/>
                <w:szCs w:val="32"/>
                <w:lang w:val="en-US" w:eastAsia="zh-CN" w:bidi="ar"/>
              </w:rPr>
            </w:pPr>
            <w:r>
              <w:rPr>
                <w:rFonts w:hint="eastAsia" w:ascii="仿宋_GB2312" w:hAnsi="仿宋_GB2312" w:eastAsia="仿宋_GB2312" w:cs="仿宋_GB2312"/>
                <w:b/>
                <w:bCs/>
                <w:color w:val="000000"/>
                <w:kern w:val="0"/>
                <w:sz w:val="32"/>
                <w:szCs w:val="32"/>
                <w:lang w:val="en-US" w:eastAsia="zh-CN" w:bidi="ar"/>
              </w:rPr>
              <w:t>2.党建融合助推科研工作实效</w:t>
            </w:r>
          </w:p>
          <w:p w14:paraId="0D3A0FE5">
            <w:pPr>
              <w:widowControl/>
              <w:ind w:firstLine="640" w:firstLineChars="200"/>
              <w:rPr>
                <w:rFonts w:hint="default"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zh-CN" w:eastAsia="zh-CN" w:bidi="ar"/>
              </w:rPr>
              <w:t>党支部教师</w:t>
            </w:r>
            <w:r>
              <w:rPr>
                <w:rFonts w:hint="eastAsia" w:ascii="仿宋_GB2312" w:hAnsi="仿宋_GB2312" w:eastAsia="仿宋_GB2312" w:cs="仿宋_GB2312"/>
                <w:color w:val="000000"/>
                <w:kern w:val="0"/>
                <w:sz w:val="32"/>
                <w:szCs w:val="32"/>
                <w:lang w:val="en-US" w:eastAsia="zh-CN" w:bidi="ar"/>
              </w:rPr>
              <w:t>立项</w:t>
            </w:r>
            <w:r>
              <w:rPr>
                <w:rFonts w:hint="eastAsia" w:ascii="仿宋_GB2312" w:hAnsi="仿宋_GB2312" w:eastAsia="仿宋_GB2312" w:cs="仿宋_GB2312"/>
                <w:color w:val="000000"/>
                <w:kern w:val="0"/>
                <w:sz w:val="32"/>
                <w:szCs w:val="32"/>
                <w:lang w:val="zh-CN" w:eastAsia="zh-CN" w:bidi="ar"/>
              </w:rPr>
              <w:t>院级以上科研项目立项</w:t>
            </w:r>
            <w:r>
              <w:rPr>
                <w:rFonts w:hint="eastAsia" w:ascii="仿宋_GB2312" w:hAnsi="仿宋_GB2312" w:eastAsia="仿宋_GB2312" w:cs="仿宋_GB2312"/>
                <w:color w:val="000000"/>
                <w:kern w:val="0"/>
                <w:sz w:val="32"/>
                <w:szCs w:val="32"/>
                <w:lang w:val="en-US" w:eastAsia="zh-CN" w:bidi="ar"/>
              </w:rPr>
              <w:t>32</w:t>
            </w:r>
            <w:r>
              <w:rPr>
                <w:rFonts w:hint="eastAsia" w:ascii="仿宋_GB2312" w:hAnsi="仿宋_GB2312" w:eastAsia="仿宋_GB2312" w:cs="仿宋_GB2312"/>
                <w:color w:val="000000"/>
                <w:kern w:val="0"/>
                <w:sz w:val="32"/>
                <w:szCs w:val="32"/>
                <w:lang w:val="zh-CN" w:eastAsia="zh-CN" w:bidi="ar"/>
              </w:rPr>
              <w:t>项，</w:t>
            </w:r>
            <w:r>
              <w:rPr>
                <w:rFonts w:hint="eastAsia" w:ascii="仿宋_GB2312" w:hAnsi="仿宋_GB2312" w:eastAsia="仿宋_GB2312" w:cs="仿宋_GB2312"/>
                <w:color w:val="000000"/>
                <w:kern w:val="0"/>
                <w:sz w:val="32"/>
                <w:szCs w:val="32"/>
                <w:lang w:val="en-US" w:eastAsia="zh-CN" w:bidi="ar"/>
              </w:rPr>
              <w:t>其中省市级17项，公开发表论文14篇。成立广元市物流数字化工程技术研究中心1个，立项课堂革命教学改革课堂革命案例3项。立项教改项目6项。新增教育部供需对接就业育人项目4项。科研转化成果12项。组建教材编写团队4个，编写数字教材4本。</w:t>
            </w:r>
          </w:p>
          <w:p w14:paraId="35DD5DFC">
            <w:pPr>
              <w:keepNext w:val="0"/>
              <w:keepLines w:val="0"/>
              <w:pageBreakBefore w:val="0"/>
              <w:widowControl/>
              <w:numPr>
                <w:ilvl w:val="0"/>
                <w:numId w:val="0"/>
              </w:numPr>
              <w:suppressLineNumbers w:val="0"/>
              <w:kinsoku/>
              <w:wordWrap/>
              <w:overflowPunct/>
              <w:topLinePunct w:val="0"/>
              <w:autoSpaceDE/>
              <w:autoSpaceDN/>
              <w:bidi w:val="0"/>
              <w:adjustRightInd/>
              <w:snapToGrid/>
              <w:ind w:firstLine="643" w:firstLineChars="200"/>
              <w:jc w:val="both"/>
              <w:textAlignment w:val="auto"/>
              <w:rPr>
                <w:rFonts w:hint="eastAsia" w:ascii="仿宋_GB2312" w:hAnsi="仿宋_GB2312" w:eastAsia="仿宋_GB2312" w:cs="仿宋_GB2312"/>
                <w:b/>
                <w:bCs/>
                <w:color w:val="000000"/>
                <w:kern w:val="0"/>
                <w:sz w:val="32"/>
                <w:szCs w:val="32"/>
                <w:lang w:val="en-US" w:eastAsia="zh-CN" w:bidi="ar"/>
              </w:rPr>
            </w:pPr>
            <w:r>
              <w:rPr>
                <w:rFonts w:hint="eastAsia" w:ascii="仿宋_GB2312" w:hAnsi="仿宋_GB2312" w:eastAsia="仿宋_GB2312" w:cs="仿宋_GB2312"/>
                <w:b/>
                <w:bCs/>
                <w:color w:val="000000"/>
                <w:kern w:val="0"/>
                <w:sz w:val="32"/>
                <w:szCs w:val="32"/>
                <w:lang w:val="en-US" w:eastAsia="zh-CN" w:bidi="ar"/>
              </w:rPr>
              <w:t>3.党建示范提高</w:t>
            </w:r>
            <w:r>
              <w:rPr>
                <w:rFonts w:hint="eastAsia" w:ascii="仿宋_GB2312" w:hAnsi="仿宋_GB2312" w:eastAsia="仿宋_GB2312" w:cs="仿宋_GB2312"/>
                <w:b/>
                <w:bCs/>
                <w:color w:val="000000"/>
                <w:kern w:val="0"/>
                <w:sz w:val="32"/>
                <w:szCs w:val="32"/>
                <w:lang w:val="zh-CN" w:eastAsia="zh-CN" w:bidi="ar"/>
              </w:rPr>
              <w:t>社会服务</w:t>
            </w:r>
            <w:r>
              <w:rPr>
                <w:rFonts w:hint="eastAsia" w:ascii="仿宋_GB2312" w:hAnsi="仿宋_GB2312" w:eastAsia="仿宋_GB2312" w:cs="仿宋_GB2312"/>
                <w:b/>
                <w:bCs/>
                <w:color w:val="000000"/>
                <w:kern w:val="0"/>
                <w:sz w:val="32"/>
                <w:szCs w:val="32"/>
                <w:lang w:val="en-US" w:eastAsia="zh-CN" w:bidi="ar"/>
              </w:rPr>
              <w:t>影响</w:t>
            </w:r>
          </w:p>
          <w:p w14:paraId="77806CDD">
            <w:pPr>
              <w:widowControl/>
              <w:ind w:firstLine="640" w:firstLineChars="200"/>
              <w:rPr>
                <w:rFonts w:hint="default"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成立电商技术服务团队1个，完成技术培训8086人次。开展公益性教育培训7次，完成职教帮扶专业1个，完成中高职贯通培养招生100人。开展公益性社会服务7次，技术服务产值达150余万元。完成“广元造运营中心”产教融合实践基地建设，完成“京东西南电商物流产业学院”省级产教融合实践基地申报工作。支部党员教师带领学生开展红色助农15次。支部教师多次参与广元市政策咨询及企业服务，为广元地方经济发展贡献了川信力量。</w:t>
            </w:r>
          </w:p>
          <w:p w14:paraId="21E15D68">
            <w:pPr>
              <w:widowControl/>
              <w:rPr>
                <w:rFonts w:ascii="仿宋_GB2312" w:hAnsi="仿宋_GB2312" w:eastAsia="仿宋_GB2312" w:cs="仿宋_GB2312"/>
                <w:sz w:val="28"/>
                <w:szCs w:val="28"/>
              </w:rPr>
            </w:pPr>
          </w:p>
          <w:p w14:paraId="5788D4A6">
            <w:pPr>
              <w:widowControl/>
              <w:rPr>
                <w:rFonts w:ascii="仿宋_GB2312" w:hAnsi="仿宋_GB2312" w:eastAsia="仿宋_GB2312" w:cs="仿宋_GB2312"/>
                <w:sz w:val="28"/>
                <w:szCs w:val="28"/>
              </w:rPr>
            </w:pPr>
          </w:p>
          <w:p w14:paraId="5380BD8A">
            <w:pPr>
              <w:widowControl/>
              <w:rPr>
                <w:rFonts w:ascii="仿宋_GB2312" w:hAnsi="仿宋_GB2312" w:eastAsia="仿宋_GB2312" w:cs="仿宋_GB2312"/>
                <w:sz w:val="28"/>
                <w:szCs w:val="28"/>
              </w:rPr>
            </w:pPr>
          </w:p>
        </w:tc>
      </w:tr>
      <w:tr w14:paraId="431D6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0" w:type="dxa"/>
          </w:tcPr>
          <w:p w14:paraId="65813575">
            <w:pPr>
              <w:widowControl/>
              <w:rPr>
                <w:rFonts w:ascii="楷体" w:hAnsi="楷体" w:eastAsia="楷体" w:cs="楷体"/>
                <w:b/>
                <w:bCs/>
                <w:sz w:val="32"/>
                <w:szCs w:val="32"/>
              </w:rPr>
            </w:pPr>
            <w:r>
              <w:rPr>
                <w:rFonts w:hint="eastAsia" w:ascii="楷体" w:hAnsi="楷体" w:eastAsia="楷体" w:cs="楷体"/>
                <w:b/>
                <w:bCs/>
                <w:sz w:val="32"/>
                <w:szCs w:val="32"/>
              </w:rPr>
              <w:t xml:space="preserve">（四）信息平台参与情况清单 </w:t>
            </w:r>
          </w:p>
          <w:p w14:paraId="7529B1E8">
            <w:pPr>
              <w:widowControl/>
              <w:rPr>
                <w:rFonts w:ascii="仿宋_GB2312" w:hAnsi="仿宋_GB2312" w:eastAsia="仿宋_GB2312" w:cs="仿宋_GB2312"/>
                <w:sz w:val="32"/>
                <w:szCs w:val="32"/>
              </w:rPr>
            </w:pPr>
            <w:r>
              <w:rPr>
                <w:rFonts w:hint="eastAsia" w:ascii="仿宋_GB2312" w:hAnsi="仿宋_GB2312" w:eastAsia="仿宋_GB2312" w:cs="仿宋_GB2312"/>
                <w:sz w:val="32"/>
                <w:szCs w:val="32"/>
              </w:rPr>
              <w:t>［说明：总结向</w:t>
            </w:r>
            <w:r>
              <w:rPr>
                <w:rFonts w:hint="eastAsia" w:ascii="仿宋_GB2312" w:hAnsi="仿宋_GB2312" w:eastAsia="仿宋_GB2312" w:cs="仿宋_GB2312"/>
                <w:color w:val="000000"/>
                <w:kern w:val="0"/>
                <w:sz w:val="32"/>
                <w:szCs w:val="32"/>
                <w:lang w:bidi="ar"/>
              </w:rPr>
              <w:t>教育部、教育厅、经信厅、学习强国平台、四川机关党建、川经报和学院网站等信息平台</w:t>
            </w:r>
            <w:r>
              <w:rPr>
                <w:rFonts w:hint="eastAsia" w:ascii="仿宋_GB2312" w:hAnsi="仿宋_GB2312" w:eastAsia="仿宋_GB2312" w:cs="仿宋_GB2312"/>
                <w:sz w:val="32"/>
                <w:szCs w:val="32"/>
              </w:rPr>
              <w:t xml:space="preserve">报送信息情况以及项目辐射推广平台建设情况，并列出报送总量及有关标志性成果］ </w:t>
            </w:r>
          </w:p>
          <w:p w14:paraId="25FF92EB">
            <w:pPr>
              <w:widowControl/>
              <w:numPr>
                <w:ilvl w:val="0"/>
                <w:numId w:val="0"/>
              </w:numPr>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1.四川省机关党建报道：四川信息职业技术学院数字经济学院：坚持党建引领 服务地方发展</w:t>
            </w:r>
          </w:p>
          <w:p w14:paraId="39C76486">
            <w:pPr>
              <w:widowControl/>
              <w:numPr>
                <w:ilvl w:val="0"/>
                <w:numId w:val="0"/>
              </w:numPr>
              <w:ind w:firstLine="560" w:firstLineChars="20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2.四川教育发布报道：川信职院营销电商联合党支部：“四个三”党建工作体系激发干事创业新动能</w:t>
            </w:r>
          </w:p>
          <w:p w14:paraId="7983AFFE">
            <w:pPr>
              <w:widowControl/>
              <w:numPr>
                <w:ilvl w:val="0"/>
                <w:numId w:val="0"/>
              </w:numPr>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3.广元日报报道：两优一先 川信职院党支部：打造“三个平台” 树立产教融合标杆</w:t>
            </w:r>
          </w:p>
          <w:p w14:paraId="6C754F39">
            <w:pPr>
              <w:widowControl/>
              <w:numPr>
                <w:ilvl w:val="0"/>
                <w:numId w:val="0"/>
              </w:numPr>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4.广元市机关党建推送一篇：四川信息职业技术学院：党建引领 搭台聚源 助力区域经济发展</w:t>
            </w:r>
          </w:p>
          <w:p w14:paraId="44C1DA1E">
            <w:pPr>
              <w:widowControl/>
              <w:numPr>
                <w:ilvl w:val="0"/>
                <w:numId w:val="0"/>
              </w:numPr>
              <w:ind w:firstLine="560" w:firstLineChars="20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5.蜀道清风专项报道：川信数经学院“早、实、严”三字并进廉洁教育法</w:t>
            </w:r>
          </w:p>
          <w:p w14:paraId="27BD4A5D">
            <w:pPr>
              <w:widowControl/>
              <w:numPr>
                <w:ilvl w:val="0"/>
                <w:numId w:val="0"/>
              </w:numPr>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6.在四川信息职业技术学院官方网站上发布党建工作动态10余条</w:t>
            </w:r>
          </w:p>
          <w:p w14:paraId="1C088323">
            <w:pPr>
              <w:widowControl/>
              <w:numPr>
                <w:ilvl w:val="0"/>
                <w:numId w:val="0"/>
              </w:numPr>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7.2023年6月拍摄的《大凉山里的答案》被评为四川省“乡村振兴你我同行”优秀展播作品，被中国教育电视台列为“乡村振兴你我同行”典型案例展示作品。</w:t>
            </w:r>
          </w:p>
          <w:p w14:paraId="0F01B710">
            <w:pPr>
              <w:widowControl/>
              <w:numPr>
                <w:ilvl w:val="0"/>
                <w:numId w:val="0"/>
              </w:numPr>
              <w:ind w:firstLine="560" w:firstLineChars="20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8.四川省教育动态第21期推送</w:t>
            </w:r>
          </w:p>
          <w:p w14:paraId="43870DC2">
            <w:pPr>
              <w:widowControl/>
              <w:numPr>
                <w:ilvl w:val="0"/>
                <w:numId w:val="0"/>
              </w:numPr>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9.党员教师李娟的论文《乡村振兴战略背景下川陕革命老区康养旅游产业发展探究》在中共广元市委宣传部发布《关于表扬广元市2021年度优秀精神文化产品奖的通报》（广宣[2022]78号）获得哲学社科类产品三等奖。</w:t>
            </w:r>
          </w:p>
          <w:p w14:paraId="5E8E362B">
            <w:pPr>
              <w:widowControl/>
              <w:rPr>
                <w:rFonts w:ascii="仿宋_GB2312" w:hAnsi="仿宋_GB2312" w:eastAsia="仿宋_GB2312" w:cs="仿宋_GB2312"/>
                <w:sz w:val="28"/>
                <w:szCs w:val="28"/>
              </w:rPr>
            </w:pPr>
          </w:p>
          <w:p w14:paraId="04E2E9E0">
            <w:pPr>
              <w:widowControl/>
              <w:rPr>
                <w:rFonts w:ascii="仿宋_GB2312" w:hAnsi="仿宋_GB2312" w:eastAsia="仿宋_GB2312" w:cs="仿宋_GB2312"/>
                <w:sz w:val="28"/>
                <w:szCs w:val="28"/>
              </w:rPr>
            </w:pPr>
          </w:p>
          <w:p w14:paraId="5A11936C">
            <w:pPr>
              <w:widowControl/>
              <w:rPr>
                <w:rFonts w:ascii="仿宋_GB2312" w:hAnsi="仿宋_GB2312" w:eastAsia="仿宋_GB2312" w:cs="仿宋_GB2312"/>
                <w:sz w:val="28"/>
                <w:szCs w:val="28"/>
              </w:rPr>
            </w:pPr>
          </w:p>
        </w:tc>
      </w:tr>
      <w:tr w14:paraId="44C6A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0" w:type="dxa"/>
          </w:tcPr>
          <w:p w14:paraId="48278D4F">
            <w:pPr>
              <w:widowControl/>
              <w:jc w:val="left"/>
              <w:rPr>
                <w:sz w:val="32"/>
                <w:szCs w:val="32"/>
              </w:rPr>
            </w:pPr>
            <w:r>
              <w:rPr>
                <w:rFonts w:hint="eastAsia" w:ascii="楷体" w:hAnsi="楷体" w:eastAsia="楷体" w:cs="楷体"/>
                <w:b/>
                <w:bCs/>
                <w:sz w:val="32"/>
                <w:szCs w:val="32"/>
              </w:rPr>
              <w:t xml:space="preserve">（五）负面清单自查情况 </w:t>
            </w:r>
          </w:p>
          <w:p w14:paraId="7EE826F8">
            <w:pPr>
              <w:widowControl/>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［说明：对照《负面清单》，自查建设期是否存在负面清单所列事项。如存在，加以具体说明］ </w:t>
            </w:r>
          </w:p>
          <w:p w14:paraId="48EF09EA">
            <w:pPr>
              <w:widowControl/>
              <w:rPr>
                <w:rFonts w:ascii="仿宋_GB2312" w:hAnsi="仿宋_GB2312" w:eastAsia="仿宋_GB2312" w:cs="仿宋_GB2312"/>
                <w:sz w:val="28"/>
                <w:szCs w:val="28"/>
              </w:rPr>
            </w:pPr>
          </w:p>
          <w:p w14:paraId="73DC3C74">
            <w:pPr>
              <w:widowControl/>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自查建设期间，电商物流党支部不存在负面清单所列事项。</w:t>
            </w:r>
          </w:p>
          <w:p w14:paraId="2E154265">
            <w:pPr>
              <w:widowControl/>
              <w:rPr>
                <w:rFonts w:ascii="仿宋_GB2312" w:hAnsi="仿宋_GB2312" w:eastAsia="仿宋_GB2312" w:cs="仿宋_GB2312"/>
                <w:sz w:val="28"/>
                <w:szCs w:val="28"/>
              </w:rPr>
            </w:pPr>
          </w:p>
        </w:tc>
      </w:tr>
    </w:tbl>
    <w:p w14:paraId="0511899B">
      <w:pPr>
        <w:widowControl/>
        <w:jc w:val="left"/>
        <w:rPr>
          <w:sz w:val="32"/>
          <w:szCs w:val="32"/>
        </w:rPr>
      </w:pPr>
      <w:r>
        <w:rPr>
          <w:rFonts w:hint="eastAsia" w:ascii="黑体" w:hAnsi="宋体" w:eastAsia="黑体" w:cs="黑体"/>
          <w:color w:val="000000"/>
          <w:kern w:val="0"/>
          <w:sz w:val="32"/>
          <w:szCs w:val="32"/>
          <w:lang w:bidi="ar"/>
        </w:rPr>
        <w:t>三</w:t>
      </w:r>
      <w:r>
        <w:rPr>
          <w:rFonts w:ascii="黑体" w:hAnsi="宋体" w:eastAsia="黑体" w:cs="黑体"/>
          <w:color w:val="000000"/>
          <w:kern w:val="0"/>
          <w:sz w:val="32"/>
          <w:szCs w:val="32"/>
          <w:lang w:bidi="ar"/>
        </w:rPr>
        <w:t>、建设满意度测评结果</w:t>
      </w:r>
    </w:p>
    <w:tbl>
      <w:tblPr>
        <w:tblStyle w:val="10"/>
        <w:tblW w:w="9765" w:type="dxa"/>
        <w:tblInd w:w="-5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65"/>
      </w:tblGrid>
      <w:tr w14:paraId="32AE2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5" w:type="dxa"/>
          </w:tcPr>
          <w:p w14:paraId="3BE6A10B">
            <w:pPr>
              <w:widowControl/>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［说明：请说明参加测评的人员范围、数量，列明各项指标测评满意度的百分比结果和整体测评满意度的百分比结果。</w:t>
            </w:r>
          </w:p>
          <w:p w14:paraId="65AED870">
            <w:pPr>
              <w:widowControl/>
              <w:jc w:val="left"/>
              <w:rPr>
                <w:rFonts w:ascii="楷体" w:hAnsi="楷体" w:eastAsia="楷体" w:cs="楷体"/>
                <w:b/>
                <w:bCs/>
                <w:color w:val="000000"/>
                <w:kern w:val="0"/>
                <w:sz w:val="32"/>
                <w:szCs w:val="32"/>
                <w:lang w:bidi="ar"/>
              </w:rPr>
            </w:pPr>
            <w:r>
              <w:rPr>
                <w:rFonts w:hint="eastAsia" w:ascii="楷体" w:hAnsi="楷体" w:eastAsia="楷体" w:cs="楷体"/>
                <w:b/>
                <w:bCs/>
                <w:color w:val="000000"/>
                <w:kern w:val="0"/>
                <w:sz w:val="32"/>
                <w:szCs w:val="32"/>
                <w:lang w:bidi="ar"/>
              </w:rPr>
              <w:t>测评结果：</w:t>
            </w:r>
          </w:p>
          <w:p w14:paraId="2384F4A9">
            <w:pPr>
              <w:widowControl/>
              <w:ind w:firstLine="643" w:firstLineChars="200"/>
              <w:jc w:val="left"/>
              <w:rPr>
                <w:rFonts w:hint="eastAsia" w:ascii="楷体" w:hAnsi="楷体" w:eastAsia="楷体" w:cs="楷体"/>
                <w:b/>
                <w:bCs/>
                <w:color w:val="000000"/>
                <w:kern w:val="0"/>
                <w:sz w:val="32"/>
                <w:szCs w:val="32"/>
                <w:lang w:val="en-US" w:eastAsia="zh-CN" w:bidi="ar"/>
              </w:rPr>
            </w:pPr>
            <w:r>
              <w:rPr>
                <w:rFonts w:hint="eastAsia" w:ascii="楷体" w:hAnsi="楷体" w:eastAsia="楷体" w:cs="楷体"/>
                <w:b/>
                <w:bCs/>
                <w:color w:val="000000"/>
                <w:kern w:val="0"/>
                <w:sz w:val="32"/>
                <w:szCs w:val="32"/>
                <w:lang w:val="en-US" w:eastAsia="zh-CN" w:bidi="ar"/>
              </w:rPr>
              <w:t>支部组织支部内和党外师生共计15人参加测评，测评整体满意度100%。其中党组织领导和运行机制到位指标非常满意80%，满意20%；管理党员有力指标非常满意73.3%，满意26.7%；监督党员有力指标非常满意80%，满意20%；组织党员有力指标非常满意100%；宣传党员有力指标非常满意86.7%，满意13.3%；凝聚党员有力指标非常满意93.3%，满意6.7%；服务党员有力指标非常满意80%，满意20%。</w:t>
            </w:r>
          </w:p>
          <w:p w14:paraId="0F57509D">
            <w:pPr>
              <w:widowControl/>
              <w:ind w:firstLine="643" w:firstLineChars="200"/>
              <w:jc w:val="left"/>
              <w:rPr>
                <w:rFonts w:hint="eastAsia" w:ascii="楷体" w:hAnsi="楷体" w:eastAsia="楷体" w:cs="楷体"/>
                <w:b/>
                <w:bCs/>
                <w:color w:val="000000"/>
                <w:kern w:val="0"/>
                <w:sz w:val="32"/>
                <w:szCs w:val="32"/>
                <w:lang w:val="en-US" w:eastAsia="zh-CN" w:bidi="ar"/>
              </w:rPr>
            </w:pPr>
          </w:p>
        </w:tc>
      </w:tr>
    </w:tbl>
    <w:p w14:paraId="331E9914">
      <w:pPr>
        <w:widowControl/>
        <w:jc w:val="left"/>
        <w:rPr>
          <w:sz w:val="32"/>
          <w:szCs w:val="32"/>
        </w:rPr>
      </w:pPr>
      <w:r>
        <w:rPr>
          <w:rFonts w:hint="eastAsia" w:ascii="黑体" w:hAnsi="宋体" w:eastAsia="黑体" w:cs="黑体"/>
          <w:color w:val="000000"/>
          <w:kern w:val="0"/>
          <w:sz w:val="32"/>
          <w:szCs w:val="32"/>
          <w:lang w:bidi="ar"/>
        </w:rPr>
        <w:t>四</w:t>
      </w:r>
      <w:r>
        <w:rPr>
          <w:rFonts w:ascii="黑体" w:hAnsi="宋体" w:eastAsia="黑体" w:cs="黑体"/>
          <w:color w:val="000000"/>
          <w:kern w:val="0"/>
          <w:sz w:val="32"/>
          <w:szCs w:val="32"/>
          <w:lang w:bidi="ar"/>
        </w:rPr>
        <w:t>、</w:t>
      </w:r>
      <w:r>
        <w:rPr>
          <w:rFonts w:hint="eastAsia" w:ascii="黑体" w:hAnsi="宋体" w:eastAsia="黑体" w:cs="黑体"/>
          <w:color w:val="000000"/>
          <w:kern w:val="0"/>
          <w:sz w:val="32"/>
          <w:szCs w:val="32"/>
          <w:lang w:bidi="ar"/>
        </w:rPr>
        <w:t>党总支自审</w:t>
      </w:r>
      <w:r>
        <w:rPr>
          <w:rFonts w:ascii="黑体" w:hAnsi="宋体" w:eastAsia="黑体" w:cs="黑体"/>
          <w:color w:val="000000"/>
          <w:kern w:val="0"/>
          <w:sz w:val="32"/>
          <w:szCs w:val="32"/>
          <w:lang w:bidi="ar"/>
        </w:rPr>
        <w:t>意见</w:t>
      </w:r>
    </w:p>
    <w:tbl>
      <w:tblPr>
        <w:tblStyle w:val="10"/>
        <w:tblW w:w="9765" w:type="dxa"/>
        <w:tblInd w:w="-5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65"/>
      </w:tblGrid>
      <w:tr w14:paraId="38661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5" w:type="dxa"/>
            <w:vAlign w:val="center"/>
          </w:tcPr>
          <w:p w14:paraId="02823F6A">
            <w:pPr>
              <w:widowControl/>
              <w:jc w:val="center"/>
              <w:rPr>
                <w:rFonts w:ascii="仿宋_GB2312" w:hAnsi="仿宋_GB2312" w:eastAsia="仿宋_GB2312" w:cs="仿宋_GB2312"/>
                <w:color w:val="000000"/>
                <w:kern w:val="0"/>
                <w:sz w:val="28"/>
                <w:szCs w:val="28"/>
                <w:lang w:bidi="ar"/>
              </w:rPr>
            </w:pPr>
            <w:r>
              <w:rPr>
                <w:rFonts w:hint="eastAsia" w:ascii="黑体" w:hAnsi="黑体" w:eastAsia="黑体" w:cs="黑体"/>
                <w:color w:val="000000"/>
                <w:kern w:val="0"/>
                <w:sz w:val="32"/>
                <w:szCs w:val="32"/>
                <w:lang w:bidi="ar"/>
              </w:rPr>
              <w:t>党总支自审意见</w:t>
            </w:r>
          </w:p>
        </w:tc>
      </w:tr>
      <w:tr w14:paraId="0A3DC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5" w:type="dxa"/>
          </w:tcPr>
          <w:p w14:paraId="756A3A44">
            <w:pPr>
              <w:widowControl/>
              <w:rPr>
                <w:sz w:val="28"/>
                <w:szCs w:val="28"/>
              </w:rPr>
            </w:pPr>
            <w:r>
              <w:rPr>
                <w:rFonts w:ascii="仿宋" w:hAnsi="仿宋" w:eastAsia="仿宋" w:cs="仿宋"/>
                <w:color w:val="000000"/>
                <w:kern w:val="0"/>
                <w:sz w:val="32"/>
                <w:szCs w:val="32"/>
                <w:lang w:bidi="ar"/>
              </w:rPr>
              <w:t>［说明：请征询</w:t>
            </w:r>
            <w:r>
              <w:rPr>
                <w:rFonts w:hint="eastAsia" w:ascii="仿宋" w:hAnsi="仿宋" w:eastAsia="仿宋" w:cs="仿宋"/>
                <w:color w:val="000000"/>
                <w:kern w:val="0"/>
                <w:sz w:val="32"/>
                <w:szCs w:val="32"/>
                <w:lang w:bidi="ar"/>
              </w:rPr>
              <w:t>学院</w:t>
            </w:r>
            <w:r>
              <w:rPr>
                <w:rFonts w:ascii="仿宋" w:hAnsi="仿宋" w:eastAsia="仿宋" w:cs="仿宋"/>
                <w:color w:val="000000"/>
                <w:kern w:val="0"/>
                <w:sz w:val="32"/>
                <w:szCs w:val="32"/>
                <w:lang w:bidi="ar"/>
              </w:rPr>
              <w:t>纪检监察</w:t>
            </w:r>
            <w:r>
              <w:rPr>
                <w:rFonts w:hint="eastAsia" w:ascii="仿宋" w:hAnsi="仿宋" w:eastAsia="仿宋" w:cs="仿宋"/>
                <w:color w:val="000000"/>
                <w:kern w:val="0"/>
                <w:sz w:val="32"/>
                <w:szCs w:val="32"/>
                <w:lang w:bidi="ar"/>
              </w:rPr>
              <w:t>、教学等</w:t>
            </w:r>
            <w:r>
              <w:rPr>
                <w:rFonts w:ascii="仿宋" w:hAnsi="仿宋" w:eastAsia="仿宋" w:cs="仿宋"/>
                <w:color w:val="000000"/>
                <w:kern w:val="0"/>
                <w:sz w:val="32"/>
                <w:szCs w:val="32"/>
                <w:lang w:bidi="ar"/>
              </w:rPr>
              <w:t>部门意见后，写明建设期是否出现负面清单所</w:t>
            </w:r>
            <w:r>
              <w:rPr>
                <w:rFonts w:hint="eastAsia" w:ascii="仿宋" w:hAnsi="仿宋" w:eastAsia="仿宋" w:cs="仿宋"/>
                <w:color w:val="000000"/>
                <w:kern w:val="0"/>
                <w:sz w:val="32"/>
                <w:szCs w:val="32"/>
                <w:lang w:bidi="ar"/>
              </w:rPr>
              <w:t>列事项，作出总体评价，提出自审意见。</w:t>
            </w:r>
            <w:r>
              <w:rPr>
                <w:rFonts w:hint="eastAsia" w:ascii="仿宋" w:hAnsi="仿宋" w:eastAsia="仿宋" w:cs="仿宋"/>
                <w:b/>
                <w:bCs/>
                <w:color w:val="000000"/>
                <w:kern w:val="0"/>
                <w:sz w:val="32"/>
                <w:szCs w:val="32"/>
                <w:lang w:bidi="ar"/>
              </w:rPr>
              <w:t>如“暂缓通过”或“不予通过”，需注明具体原因］</w:t>
            </w:r>
            <w:r>
              <w:rPr>
                <w:rFonts w:hint="eastAsia" w:ascii="仿宋" w:hAnsi="仿宋" w:eastAsia="仿宋" w:cs="仿宋"/>
                <w:color w:val="000000"/>
                <w:kern w:val="0"/>
                <w:sz w:val="28"/>
                <w:szCs w:val="28"/>
                <w:lang w:bidi="ar"/>
              </w:rPr>
              <w:t xml:space="preserve"> </w:t>
            </w:r>
          </w:p>
          <w:p w14:paraId="6B836E61">
            <w:pPr>
              <w:widowControl/>
              <w:jc w:val="left"/>
              <w:rPr>
                <w:rFonts w:ascii="华文楷体" w:hAnsi="华文楷体" w:eastAsia="华文楷体" w:cs="华文楷体"/>
                <w:b/>
                <w:bCs/>
                <w:color w:val="000000"/>
                <w:kern w:val="0"/>
                <w:sz w:val="24"/>
                <w:lang w:bidi="ar"/>
              </w:rPr>
            </w:pPr>
            <w:r>
              <w:rPr>
                <w:rFonts w:hint="eastAsia" w:ascii="楷体" w:hAnsi="楷体" w:eastAsia="楷体" w:cs="楷体"/>
                <w:b/>
                <w:bCs/>
                <w:color w:val="000000"/>
                <w:kern w:val="0"/>
                <w:sz w:val="32"/>
                <w:szCs w:val="32"/>
                <w:lang w:bidi="ar"/>
              </w:rPr>
              <w:t>总体评价：</w:t>
            </w:r>
            <w:r>
              <w:rPr>
                <w:rFonts w:ascii="华文楷体" w:hAnsi="华文楷体" w:eastAsia="华文楷体" w:cs="华文楷体"/>
                <w:b/>
                <w:bCs/>
                <w:color w:val="000000"/>
                <w:kern w:val="0"/>
                <w:sz w:val="24"/>
                <w:lang w:bidi="ar"/>
              </w:rPr>
              <w:t xml:space="preserve"> </w:t>
            </w:r>
          </w:p>
          <w:p w14:paraId="557BEEFB">
            <w:pPr>
              <w:widowControl/>
              <w:jc w:val="left"/>
              <w:rPr>
                <w:rFonts w:ascii="华文楷体" w:hAnsi="华文楷体" w:eastAsia="华文楷体" w:cs="华文楷体"/>
                <w:b/>
                <w:bCs/>
                <w:color w:val="000000"/>
                <w:kern w:val="0"/>
                <w:sz w:val="24"/>
                <w:lang w:bidi="ar"/>
              </w:rPr>
            </w:pPr>
          </w:p>
          <w:p w14:paraId="252D39AF">
            <w:pPr>
              <w:widowControl/>
              <w:jc w:val="left"/>
              <w:rPr>
                <w:rFonts w:ascii="楷体" w:hAnsi="楷体" w:eastAsia="楷体" w:cs="楷体"/>
                <w:b/>
                <w:bCs/>
                <w:color w:val="000000"/>
                <w:kern w:val="0"/>
                <w:sz w:val="32"/>
                <w:szCs w:val="32"/>
                <w:lang w:bidi="ar"/>
              </w:rPr>
            </w:pPr>
            <w:r>
              <w:rPr>
                <w:rFonts w:hint="eastAsia" w:ascii="楷体" w:hAnsi="楷体" w:eastAsia="楷体" w:cs="楷体"/>
                <w:b/>
                <w:bCs/>
                <w:color w:val="000000"/>
                <w:kern w:val="0"/>
                <w:sz w:val="32"/>
                <w:szCs w:val="32"/>
                <w:lang w:bidi="ar"/>
              </w:rPr>
              <w:t xml:space="preserve"> </w:t>
            </w:r>
            <w:r>
              <w:rPr>
                <w:rFonts w:hint="eastAsia" w:ascii="楷体" w:hAnsi="楷体" w:eastAsia="楷体" w:cs="楷体"/>
                <w:b/>
                <w:bCs/>
                <w:color w:val="000000"/>
                <w:kern w:val="0"/>
                <w:sz w:val="32"/>
                <w:szCs w:val="32"/>
                <w:lang w:val="en-US" w:eastAsia="zh-CN" w:bidi="ar"/>
              </w:rPr>
              <w:t xml:space="preserve">   </w:t>
            </w:r>
            <w:r>
              <w:rPr>
                <w:rFonts w:hint="eastAsia" w:ascii="楷体" w:hAnsi="楷体" w:eastAsia="楷体" w:cs="楷体"/>
                <w:b/>
                <w:bCs/>
                <w:color w:val="000000"/>
                <w:kern w:val="0"/>
                <w:sz w:val="32"/>
                <w:szCs w:val="32"/>
                <w:lang w:bidi="ar"/>
              </w:rPr>
              <w:t xml:space="preserve">通过验收 </w:t>
            </w:r>
          </w:p>
          <w:p w14:paraId="3D81D373">
            <w:pPr>
              <w:widowControl/>
              <w:ind w:firstLine="1600" w:firstLineChars="500"/>
              <w:jc w:val="left"/>
              <w:rPr>
                <w:rFonts w:hint="eastAsia" w:ascii="仿宋_GB2312" w:hAnsi="仿宋_GB2312" w:eastAsia="仿宋_GB2312" w:cs="仿宋_GB2312"/>
                <w:color w:val="000000"/>
                <w:kern w:val="0"/>
                <w:sz w:val="32"/>
                <w:szCs w:val="32"/>
                <w:lang w:bidi="ar"/>
              </w:rPr>
            </w:pPr>
          </w:p>
          <w:p w14:paraId="2A661CFC">
            <w:pPr>
              <w:widowControl/>
              <w:ind w:firstLine="1600" w:firstLineChars="500"/>
              <w:jc w:val="left"/>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党总支书记（签章）：         （加盖公章）</w:t>
            </w:r>
          </w:p>
          <w:p w14:paraId="72C471EF">
            <w:pPr>
              <w:widowControl/>
              <w:ind w:firstLine="2560" w:firstLineChars="800"/>
              <w:jc w:val="left"/>
              <w:rPr>
                <w:rFonts w:ascii="黑体" w:hAnsi="宋体" w:eastAsia="黑体" w:cs="黑体"/>
                <w:color w:val="000000"/>
                <w:kern w:val="0"/>
                <w:sz w:val="28"/>
                <w:szCs w:val="28"/>
                <w:lang w:bidi="ar"/>
              </w:rPr>
            </w:pPr>
            <w:r>
              <w:rPr>
                <w:rFonts w:hint="eastAsia" w:ascii="仿宋_GB2312" w:hAnsi="仿宋_GB2312" w:eastAsia="仿宋_GB2312" w:cs="仿宋_GB2312"/>
                <w:color w:val="000000"/>
                <w:kern w:val="0"/>
                <w:sz w:val="32"/>
                <w:szCs w:val="32"/>
                <w:lang w:bidi="ar"/>
              </w:rPr>
              <w:t xml:space="preserve">                      年    月    日</w:t>
            </w:r>
            <w:bookmarkStart w:id="0" w:name="_GoBack"/>
            <w:bookmarkEnd w:id="0"/>
          </w:p>
        </w:tc>
      </w:tr>
    </w:tbl>
    <w:p w14:paraId="7DBDEF52">
      <w:pPr>
        <w:widowControl/>
        <w:jc w:val="left"/>
        <w:rPr>
          <w:rFonts w:ascii="黑体" w:hAnsi="宋体" w:eastAsia="黑体" w:cs="黑体"/>
          <w:color w:val="000000"/>
          <w:kern w:val="0"/>
          <w:sz w:val="32"/>
          <w:szCs w:val="32"/>
          <w:lang w:bidi="ar"/>
        </w:rPr>
        <w:sectPr>
          <w:pgSz w:w="11906" w:h="16838"/>
          <w:pgMar w:top="1440" w:right="1800" w:bottom="1440" w:left="1800" w:header="851" w:footer="992" w:gutter="0"/>
          <w:pgNumType w:fmt="numberInDash"/>
          <w:cols w:space="425" w:num="1"/>
          <w:docGrid w:type="lines" w:linePitch="312" w:charSpace="0"/>
        </w:sectPr>
      </w:pPr>
    </w:p>
    <w:p w14:paraId="442E6AC4">
      <w:pPr>
        <w:pStyle w:val="8"/>
        <w:ind w:left="0" w:leftChars="0" w:firstLine="0" w:firstLineChars="0"/>
      </w:pPr>
    </w:p>
    <w:sectPr>
      <w:pgSz w:w="11906" w:h="16838"/>
      <w:pgMar w:top="1440" w:right="1803" w:bottom="1440" w:left="1803" w:header="851" w:footer="992" w:gutter="0"/>
      <w:pgNumType w:fmt="numberInDash"/>
      <w:cols w:space="72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楷体_GB2312">
    <w:altName w:val="楷体"/>
    <w:panose1 w:val="020B0604020202020204"/>
    <w:charset w:val="86"/>
    <w:family w:val="modern"/>
    <w:pitch w:val="default"/>
    <w:sig w:usb0="00000000" w:usb1="00000000" w:usb2="0000001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6ADB8">
    <w:pPr>
      <w:pStyle w:val="5"/>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AE71CB">
                          <w:pPr>
                            <w:pStyle w:val="5"/>
                            <w:rPr>
                              <w:rFonts w:ascii="宋体" w:hAnsi="宋体" w:eastAsia="宋体"/>
                              <w:sz w:val="32"/>
                              <w:szCs w:val="30"/>
                            </w:rPr>
                          </w:pPr>
                          <w:r>
                            <w:rPr>
                              <w:rFonts w:hint="eastAsia" w:ascii="宋体" w:hAnsi="宋体" w:eastAsia="宋体" w:cs="仿宋_GB2312"/>
                              <w:sz w:val="28"/>
                            </w:rPr>
                            <w:fldChar w:fldCharType="begin"/>
                          </w:r>
                          <w:r>
                            <w:rPr>
                              <w:rFonts w:hint="eastAsia" w:ascii="宋体" w:hAnsi="宋体" w:eastAsia="宋体" w:cs="仿宋_GB2312"/>
                              <w:sz w:val="28"/>
                            </w:rPr>
                            <w:instrText xml:space="preserve"> PAGE  \* MERGEFORMAT </w:instrText>
                          </w:r>
                          <w:r>
                            <w:rPr>
                              <w:rFonts w:hint="eastAsia" w:ascii="宋体" w:hAnsi="宋体" w:eastAsia="宋体" w:cs="仿宋_GB2312"/>
                              <w:sz w:val="28"/>
                            </w:rPr>
                            <w:fldChar w:fldCharType="separate"/>
                          </w:r>
                          <w:r>
                            <w:rPr>
                              <w:rFonts w:hint="eastAsia" w:ascii="宋体" w:hAnsi="宋体" w:eastAsia="宋体" w:cs="仿宋_GB2312"/>
                              <w:sz w:val="28"/>
                            </w:rPr>
                            <w:t>1</w:t>
                          </w:r>
                          <w:r>
                            <w:rPr>
                              <w:rFonts w:hint="eastAsia" w:ascii="宋体" w:hAnsi="宋体" w:eastAsia="宋体" w:cs="仿宋_GB2312"/>
                              <w:sz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1AE71CB">
                    <w:pPr>
                      <w:pStyle w:val="5"/>
                      <w:rPr>
                        <w:rFonts w:ascii="宋体" w:hAnsi="宋体" w:eastAsia="宋体"/>
                        <w:sz w:val="32"/>
                        <w:szCs w:val="30"/>
                      </w:rPr>
                    </w:pPr>
                    <w:r>
                      <w:rPr>
                        <w:rFonts w:hint="eastAsia" w:ascii="宋体" w:hAnsi="宋体" w:eastAsia="宋体" w:cs="仿宋_GB2312"/>
                        <w:sz w:val="28"/>
                      </w:rPr>
                      <w:fldChar w:fldCharType="begin"/>
                    </w:r>
                    <w:r>
                      <w:rPr>
                        <w:rFonts w:hint="eastAsia" w:ascii="宋体" w:hAnsi="宋体" w:eastAsia="宋体" w:cs="仿宋_GB2312"/>
                        <w:sz w:val="28"/>
                      </w:rPr>
                      <w:instrText xml:space="preserve"> PAGE  \* MERGEFORMAT </w:instrText>
                    </w:r>
                    <w:r>
                      <w:rPr>
                        <w:rFonts w:hint="eastAsia" w:ascii="宋体" w:hAnsi="宋体" w:eastAsia="宋体" w:cs="仿宋_GB2312"/>
                        <w:sz w:val="28"/>
                      </w:rPr>
                      <w:fldChar w:fldCharType="separate"/>
                    </w:r>
                    <w:r>
                      <w:rPr>
                        <w:rFonts w:hint="eastAsia" w:ascii="宋体" w:hAnsi="宋体" w:eastAsia="宋体" w:cs="仿宋_GB2312"/>
                        <w:sz w:val="28"/>
                      </w:rPr>
                      <w:t>1</w:t>
                    </w:r>
                    <w:r>
                      <w:rPr>
                        <w:rFonts w:hint="eastAsia" w:ascii="宋体" w:hAnsi="宋体" w:eastAsia="宋体" w:cs="仿宋_GB2312"/>
                        <w:sz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3586684"/>
      <w:docPartObj>
        <w:docPartGallery w:val="autotext"/>
      </w:docPartObj>
    </w:sdtPr>
    <w:sdtEndPr>
      <w:rPr>
        <w:rFonts w:ascii="宋体" w:hAnsi="宋体" w:eastAsia="宋体"/>
        <w:sz w:val="28"/>
      </w:rPr>
    </w:sdtEndPr>
    <w:sdtContent>
      <w:p w14:paraId="633714A4">
        <w:pPr>
          <w:pStyle w:val="5"/>
          <w:rPr>
            <w:rFonts w:ascii="宋体" w:hAnsi="宋体" w:eastAsia="宋体"/>
            <w:sz w:val="28"/>
          </w:rPr>
        </w:pPr>
        <w:r>
          <w:rPr>
            <w:rFonts w:ascii="宋体" w:hAnsi="宋体" w:eastAsia="宋体"/>
            <w:sz w:val="28"/>
          </w:rPr>
          <w:fldChar w:fldCharType="begin"/>
        </w:r>
        <w:r>
          <w:rPr>
            <w:rFonts w:ascii="宋体" w:hAnsi="宋体" w:eastAsia="宋体"/>
            <w:sz w:val="28"/>
          </w:rPr>
          <w:instrText xml:space="preserve">PAGE   \* MERGEFORMAT</w:instrText>
        </w:r>
        <w:r>
          <w:rPr>
            <w:rFonts w:ascii="宋体" w:hAnsi="宋体" w:eastAsia="宋体"/>
            <w:sz w:val="28"/>
          </w:rPr>
          <w:fldChar w:fldCharType="separate"/>
        </w:r>
        <w:r>
          <w:rPr>
            <w:rFonts w:ascii="宋体" w:hAnsi="宋体" w:eastAsia="宋体"/>
            <w:sz w:val="28"/>
            <w:lang w:val="zh-CN"/>
          </w:rPr>
          <w:t>2</w:t>
        </w:r>
        <w:r>
          <w:rPr>
            <w:rFonts w:ascii="宋体" w:hAnsi="宋体" w:eastAsia="宋体"/>
            <w:sz w:val="28"/>
          </w:rPr>
          <w:fldChar w:fldCharType="end"/>
        </w:r>
      </w:p>
    </w:sdtContent>
  </w:sdt>
  <w:p w14:paraId="3499F87C">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90CC20"/>
    <w:multiLevelType w:val="singleLevel"/>
    <w:tmpl w:val="CB90CC20"/>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4YTMzNDJmMTMzNTZmZGNhM2NlMGM4NjkxZmQ1OTkifQ=="/>
  </w:docVars>
  <w:rsids>
    <w:rsidRoot w:val="39280F4E"/>
    <w:rsid w:val="00012DDF"/>
    <w:rsid w:val="00047010"/>
    <w:rsid w:val="00086DEF"/>
    <w:rsid w:val="00097D17"/>
    <w:rsid w:val="000A1D07"/>
    <w:rsid w:val="000E0747"/>
    <w:rsid w:val="000E47E3"/>
    <w:rsid w:val="000F27F7"/>
    <w:rsid w:val="00154E78"/>
    <w:rsid w:val="00285264"/>
    <w:rsid w:val="00286872"/>
    <w:rsid w:val="002C1251"/>
    <w:rsid w:val="002D238C"/>
    <w:rsid w:val="003B47DF"/>
    <w:rsid w:val="003E2EE9"/>
    <w:rsid w:val="003F69B2"/>
    <w:rsid w:val="004276D2"/>
    <w:rsid w:val="00471CC8"/>
    <w:rsid w:val="00561432"/>
    <w:rsid w:val="00586238"/>
    <w:rsid w:val="00686C2F"/>
    <w:rsid w:val="00713A7F"/>
    <w:rsid w:val="007A1B22"/>
    <w:rsid w:val="007A51B4"/>
    <w:rsid w:val="007C5111"/>
    <w:rsid w:val="00861C56"/>
    <w:rsid w:val="00862C56"/>
    <w:rsid w:val="0088467F"/>
    <w:rsid w:val="0090709E"/>
    <w:rsid w:val="00926F7C"/>
    <w:rsid w:val="009339B2"/>
    <w:rsid w:val="0094044E"/>
    <w:rsid w:val="00982A55"/>
    <w:rsid w:val="00A85312"/>
    <w:rsid w:val="00B029ED"/>
    <w:rsid w:val="00B86169"/>
    <w:rsid w:val="00BA2D75"/>
    <w:rsid w:val="00C54131"/>
    <w:rsid w:val="00C54964"/>
    <w:rsid w:val="00C80A60"/>
    <w:rsid w:val="00D22555"/>
    <w:rsid w:val="00D70A09"/>
    <w:rsid w:val="00D8636F"/>
    <w:rsid w:val="00DD375C"/>
    <w:rsid w:val="00E07044"/>
    <w:rsid w:val="00E44C27"/>
    <w:rsid w:val="00F7176C"/>
    <w:rsid w:val="03FC09C3"/>
    <w:rsid w:val="04A7196A"/>
    <w:rsid w:val="05780A0D"/>
    <w:rsid w:val="058A5E9A"/>
    <w:rsid w:val="05C27E71"/>
    <w:rsid w:val="0629539C"/>
    <w:rsid w:val="07F2740C"/>
    <w:rsid w:val="08925E3D"/>
    <w:rsid w:val="09063A89"/>
    <w:rsid w:val="09945539"/>
    <w:rsid w:val="0AE61DC4"/>
    <w:rsid w:val="0B466290"/>
    <w:rsid w:val="0BDA2180"/>
    <w:rsid w:val="0CCA2506"/>
    <w:rsid w:val="0DFA16E3"/>
    <w:rsid w:val="0EA24500"/>
    <w:rsid w:val="11603F53"/>
    <w:rsid w:val="11D471CF"/>
    <w:rsid w:val="126857B5"/>
    <w:rsid w:val="12D15108"/>
    <w:rsid w:val="13A72959"/>
    <w:rsid w:val="14180BB8"/>
    <w:rsid w:val="14CB3DD9"/>
    <w:rsid w:val="150F1F18"/>
    <w:rsid w:val="151614F8"/>
    <w:rsid w:val="151C5828"/>
    <w:rsid w:val="16073568"/>
    <w:rsid w:val="1616670B"/>
    <w:rsid w:val="16221D47"/>
    <w:rsid w:val="16781D3E"/>
    <w:rsid w:val="18DB545D"/>
    <w:rsid w:val="19265A82"/>
    <w:rsid w:val="1A240213"/>
    <w:rsid w:val="1BE45525"/>
    <w:rsid w:val="1C2B1F09"/>
    <w:rsid w:val="1C8F393E"/>
    <w:rsid w:val="1D65021B"/>
    <w:rsid w:val="1D9172DB"/>
    <w:rsid w:val="1DBE44DB"/>
    <w:rsid w:val="20C77B4A"/>
    <w:rsid w:val="24FB4266"/>
    <w:rsid w:val="26976211"/>
    <w:rsid w:val="279250C6"/>
    <w:rsid w:val="28442E5C"/>
    <w:rsid w:val="28642123"/>
    <w:rsid w:val="28DC615D"/>
    <w:rsid w:val="2ABC7FF4"/>
    <w:rsid w:val="2C720017"/>
    <w:rsid w:val="2E2465DC"/>
    <w:rsid w:val="2F591113"/>
    <w:rsid w:val="2FCE2CA3"/>
    <w:rsid w:val="30C16364"/>
    <w:rsid w:val="31FF3857"/>
    <w:rsid w:val="327D767D"/>
    <w:rsid w:val="36B349A1"/>
    <w:rsid w:val="38BE66D3"/>
    <w:rsid w:val="39280F4E"/>
    <w:rsid w:val="39CC2FA3"/>
    <w:rsid w:val="3A6A35C8"/>
    <w:rsid w:val="3A744447"/>
    <w:rsid w:val="3B245E6D"/>
    <w:rsid w:val="3B54269E"/>
    <w:rsid w:val="3C2D58B1"/>
    <w:rsid w:val="3FDB0AC5"/>
    <w:rsid w:val="401F09B1"/>
    <w:rsid w:val="402B1A4C"/>
    <w:rsid w:val="406632A2"/>
    <w:rsid w:val="41144EDB"/>
    <w:rsid w:val="41344930"/>
    <w:rsid w:val="414B61E9"/>
    <w:rsid w:val="42622101"/>
    <w:rsid w:val="42B86E9B"/>
    <w:rsid w:val="433B31B7"/>
    <w:rsid w:val="43C04259"/>
    <w:rsid w:val="441540D5"/>
    <w:rsid w:val="45457B2E"/>
    <w:rsid w:val="458614D2"/>
    <w:rsid w:val="462F1B6A"/>
    <w:rsid w:val="47092147"/>
    <w:rsid w:val="47E2004F"/>
    <w:rsid w:val="4860425D"/>
    <w:rsid w:val="48DA5DBD"/>
    <w:rsid w:val="49B1358E"/>
    <w:rsid w:val="49F977A4"/>
    <w:rsid w:val="4A424D13"/>
    <w:rsid w:val="4A961FED"/>
    <w:rsid w:val="4B2D2165"/>
    <w:rsid w:val="4C893C29"/>
    <w:rsid w:val="4C942727"/>
    <w:rsid w:val="4D2F41FE"/>
    <w:rsid w:val="4E3A0EEE"/>
    <w:rsid w:val="50812FC2"/>
    <w:rsid w:val="55376D1F"/>
    <w:rsid w:val="556E230B"/>
    <w:rsid w:val="5626193E"/>
    <w:rsid w:val="56284D0F"/>
    <w:rsid w:val="565D002E"/>
    <w:rsid w:val="56AF6ADB"/>
    <w:rsid w:val="56E12A0D"/>
    <w:rsid w:val="59204DD3"/>
    <w:rsid w:val="59995821"/>
    <w:rsid w:val="59CC1752"/>
    <w:rsid w:val="5A541C17"/>
    <w:rsid w:val="5A5A4FD9"/>
    <w:rsid w:val="5BC579D2"/>
    <w:rsid w:val="5D373386"/>
    <w:rsid w:val="5E41259F"/>
    <w:rsid w:val="5F864151"/>
    <w:rsid w:val="60F670B5"/>
    <w:rsid w:val="61393311"/>
    <w:rsid w:val="61FF321E"/>
    <w:rsid w:val="62AE5E99"/>
    <w:rsid w:val="64243F39"/>
    <w:rsid w:val="658F596C"/>
    <w:rsid w:val="65C0767F"/>
    <w:rsid w:val="660364FC"/>
    <w:rsid w:val="6922353D"/>
    <w:rsid w:val="6D87532F"/>
    <w:rsid w:val="6E8021C5"/>
    <w:rsid w:val="6EBF1905"/>
    <w:rsid w:val="6F502086"/>
    <w:rsid w:val="726F6CC7"/>
    <w:rsid w:val="727E1D8F"/>
    <w:rsid w:val="72F2308C"/>
    <w:rsid w:val="73F761C2"/>
    <w:rsid w:val="757354C5"/>
    <w:rsid w:val="769852AF"/>
    <w:rsid w:val="774E334F"/>
    <w:rsid w:val="77620166"/>
    <w:rsid w:val="78F87A16"/>
    <w:rsid w:val="796541E5"/>
    <w:rsid w:val="7A88193A"/>
    <w:rsid w:val="7B6820FD"/>
    <w:rsid w:val="7BC63DFB"/>
    <w:rsid w:val="7D04348A"/>
    <w:rsid w:val="7E493C7B"/>
    <w:rsid w:val="7E4B68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ody Text Indent"/>
    <w:basedOn w:val="1"/>
    <w:unhideWhenUsed/>
    <w:qFormat/>
    <w:uiPriority w:val="99"/>
    <w:pPr>
      <w:spacing w:after="120"/>
      <w:ind w:left="420" w:leftChars="200"/>
    </w:pPr>
  </w:style>
  <w:style w:type="paragraph" w:styleId="4">
    <w:name w:val="Balloon Text"/>
    <w:basedOn w:val="1"/>
    <w:link w:val="14"/>
    <w:qFormat/>
    <w:uiPriority w:val="0"/>
    <w:rPr>
      <w:sz w:val="18"/>
      <w:szCs w:val="18"/>
    </w:rPr>
  </w:style>
  <w:style w:type="paragraph" w:styleId="5">
    <w:name w:val="footer"/>
    <w:basedOn w:val="1"/>
    <w:link w:val="13"/>
    <w:qFormat/>
    <w:uiPriority w:val="99"/>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8">
    <w:name w:val="Body Text First Indent 2"/>
    <w:basedOn w:val="3"/>
    <w:unhideWhenUsed/>
    <w:qFormat/>
    <w:uiPriority w:val="99"/>
    <w:pPr>
      <w:ind w:firstLine="42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unhideWhenUsed/>
    <w:qFormat/>
    <w:uiPriority w:val="99"/>
    <w:rPr>
      <w:sz w:val="21"/>
      <w:szCs w:val="21"/>
    </w:rPr>
  </w:style>
  <w:style w:type="character" w:customStyle="1" w:styleId="13">
    <w:name w:val="页脚 字符"/>
    <w:basedOn w:val="11"/>
    <w:link w:val="5"/>
    <w:qFormat/>
    <w:uiPriority w:val="99"/>
    <w:rPr>
      <w:rFonts w:asciiTheme="minorHAnsi" w:hAnsiTheme="minorHAnsi" w:eastAsiaTheme="minorEastAsia" w:cstheme="minorBidi"/>
      <w:kern w:val="2"/>
      <w:sz w:val="18"/>
      <w:szCs w:val="24"/>
    </w:rPr>
  </w:style>
  <w:style w:type="character" w:customStyle="1" w:styleId="14">
    <w:name w:val="批注框文本 字符"/>
    <w:basedOn w:val="11"/>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7668</Words>
  <Characters>7894</Characters>
  <Lines>52</Lines>
  <Paragraphs>14</Paragraphs>
  <TotalTime>10</TotalTime>
  <ScaleCrop>false</ScaleCrop>
  <LinksUpToDate>false</LinksUpToDate>
  <CharactersWithSpaces>8072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2024-05-24T06:51:00Z</dcterms:created>
  <dc:creator>Administrator</dc:creator>
  <cp:lastModifiedBy>WPS_1602466273</cp:lastModifiedBy>
  <dcterms:modified xsi:type="dcterms:W3CDTF">2025-11-06T03:24:36Z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0B411B6095284181ABC9111F8335A2B4_13</vt:lpwstr>
  </property>
  <property fmtid="{D5CDD505-2E9C-101B-9397-08002B2CF9AE}" pid="4" name="KSOTemplateDocerSaveRecord">
    <vt:lpwstr>eyJoZGlkIjoiYjk5ODM0YmMxOWJiYWQyNDU4MGIzYWRmYTA0ZmI5NDciLCJ1c2VySWQiOiIxMTMwMjE2NjU3In0=</vt:lpwstr>
  </property>
</Properties>
</file>