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AD1E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right="0"/>
        <w:jc w:val="both"/>
        <w:textAlignment w:val="auto"/>
        <w:rPr>
          <w:rFonts w:hint="eastAsia" w:ascii="方正仿宋_GB2312" w:hAnsi="方正仿宋_GB2312" w:eastAsia="方正仿宋_GB2312" w:cs="方正仿宋_GB2312"/>
          <w:i w:val="0"/>
          <w:iCs w:val="0"/>
          <w:caps w:val="0"/>
          <w:color w:val="0F1115"/>
          <w:spacing w:val="0"/>
          <w:sz w:val="44"/>
          <w:szCs w:val="44"/>
          <w:shd w:val="clear" w:fill="FFFFFF"/>
          <w:lang w:val="en-US" w:eastAsia="zh-CN"/>
        </w:rPr>
      </w:pPr>
      <w:bookmarkStart w:id="0" w:name="_GoBack"/>
      <w:r>
        <w:rPr>
          <w:rFonts w:hint="eastAsia" w:ascii="方正仿宋_GB2312" w:hAnsi="方正仿宋_GB2312" w:eastAsia="方正仿宋_GB2312" w:cs="方正仿宋_GB2312"/>
          <w:i w:val="0"/>
          <w:iCs w:val="0"/>
          <w:caps w:val="0"/>
          <w:color w:val="0F1115"/>
          <w:spacing w:val="0"/>
          <w:sz w:val="44"/>
          <w:szCs w:val="44"/>
          <w:shd w:val="clear" w:fill="FFFFFF"/>
          <w:lang w:val="en-US" w:eastAsia="zh-CN"/>
        </w:rPr>
        <w:t>“四融四促”引领支部高质量发展实践案例</w:t>
      </w:r>
    </w:p>
    <w:bookmarkEnd w:id="0"/>
    <w:p w14:paraId="691DB6D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right="0"/>
        <w:textAlignment w:val="auto"/>
        <w:rPr>
          <w:rFonts w:hint="eastAsia" w:ascii="黑体" w:hAnsi="黑体" w:eastAsia="黑体" w:cs="黑体"/>
          <w:i w:val="0"/>
          <w:iCs w:val="0"/>
          <w:caps w:val="0"/>
          <w:color w:val="0F1115"/>
          <w:spacing w:val="0"/>
          <w:sz w:val="32"/>
          <w:szCs w:val="32"/>
          <w:shd w:val="clear" w:fill="FFFFFF"/>
          <w:lang w:val="en-US" w:eastAsia="zh-CN"/>
        </w:rPr>
      </w:pPr>
      <w:r>
        <w:rPr>
          <w:rFonts w:hint="eastAsia" w:ascii="黑体" w:hAnsi="黑体" w:eastAsia="黑体" w:cs="黑体"/>
          <w:i w:val="0"/>
          <w:iCs w:val="0"/>
          <w:caps w:val="0"/>
          <w:color w:val="0F1115"/>
          <w:spacing w:val="0"/>
          <w:sz w:val="32"/>
          <w:szCs w:val="32"/>
          <w:shd w:val="clear" w:fill="FFFFFF"/>
          <w:lang w:val="en-US" w:eastAsia="zh-CN"/>
        </w:rPr>
        <w:t>一、工作背景</w:t>
      </w:r>
    </w:p>
    <w:p w14:paraId="7AF0858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left="0" w:right="0" w:firstLine="640" w:firstLineChars="200"/>
        <w:textAlignment w:val="auto"/>
        <w:rPr>
          <w:rFonts w:hint="eastAsia" w:ascii="方正仿宋_GB2312" w:hAnsi="方正仿宋_GB2312" w:eastAsia="方正仿宋_GB2312" w:cs="方正仿宋_GB2312"/>
          <w:i w:val="0"/>
          <w:iCs w:val="0"/>
          <w:caps w:val="0"/>
          <w:color w:val="0F1115"/>
          <w:spacing w:val="0"/>
          <w:sz w:val="32"/>
          <w:szCs w:val="32"/>
          <w:shd w:val="clear" w:fill="FFFFFF"/>
        </w:rPr>
      </w:pPr>
      <w:r>
        <w:rPr>
          <w:rFonts w:hint="eastAsia" w:ascii="方正仿宋_GB2312" w:hAnsi="方正仿宋_GB2312" w:eastAsia="方正仿宋_GB2312" w:cs="方正仿宋_GB2312"/>
          <w:i w:val="0"/>
          <w:iCs w:val="0"/>
          <w:caps w:val="0"/>
          <w:color w:val="0F1115"/>
          <w:spacing w:val="0"/>
          <w:sz w:val="32"/>
          <w:szCs w:val="32"/>
          <w:shd w:val="clear" w:fill="FFFFFF"/>
        </w:rPr>
        <w:t>为深入贯彻习近平总书记关于党的建设、教育强国及高校党建工作的重要论述精神，全面落实学院“1238”总体部署中“以党的建设为根本保证”的根本要求，电商物流党支部坚持以“四融四促”为工作主线，推动党建工作与专业建设、人才培养、社会服务、区域协同深度融合。支部立足电商物流专业特色，聚焦综合</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育人</w:t>
      </w:r>
      <w:r>
        <w:rPr>
          <w:rFonts w:hint="eastAsia" w:ascii="方正仿宋_GB2312" w:hAnsi="方正仿宋_GB2312" w:eastAsia="方正仿宋_GB2312" w:cs="方正仿宋_GB2312"/>
          <w:i w:val="0"/>
          <w:iCs w:val="0"/>
          <w:caps w:val="0"/>
          <w:color w:val="0F1115"/>
          <w:spacing w:val="0"/>
          <w:sz w:val="32"/>
          <w:szCs w:val="32"/>
          <w:shd w:val="clear" w:fill="FFFFFF"/>
        </w:rPr>
        <w:t>、科教融汇、产教融合等重点领域，以“四融四促”为具体抓手，将党建工作全面嵌入教学改革、科研创新、实践育人、联建共建等关键环节，通过机制共建、资源共享、优势互补，切实将党的组织优势转化为发展优势与服务实效，为探索“党建业务双轮驱动”的高质量发展路径提供了可复制、可推广的“川信实践”。</w:t>
      </w:r>
    </w:p>
    <w:p w14:paraId="039D765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right="0"/>
        <w:textAlignment w:val="auto"/>
        <w:rPr>
          <w:rFonts w:hint="eastAsia" w:ascii="黑体" w:hAnsi="黑体" w:eastAsia="黑体" w:cs="黑体"/>
          <w:i w:val="0"/>
          <w:iCs w:val="0"/>
          <w:caps w:val="0"/>
          <w:color w:val="0F1115"/>
          <w:spacing w:val="0"/>
          <w:sz w:val="32"/>
          <w:szCs w:val="32"/>
          <w:shd w:val="clear" w:fill="FFFFFF"/>
          <w:lang w:val="en-US" w:eastAsia="zh-CN"/>
        </w:rPr>
      </w:pPr>
      <w:r>
        <w:rPr>
          <w:rFonts w:hint="eastAsia" w:ascii="黑体" w:hAnsi="黑体" w:eastAsia="黑体" w:cs="黑体"/>
          <w:i w:val="0"/>
          <w:iCs w:val="0"/>
          <w:caps w:val="0"/>
          <w:color w:val="0F1115"/>
          <w:spacing w:val="0"/>
          <w:sz w:val="32"/>
          <w:szCs w:val="32"/>
          <w:shd w:val="clear" w:fill="FFFFFF"/>
          <w:lang w:val="en-US" w:eastAsia="zh-CN"/>
        </w:rPr>
        <w:t>二、主要做法</w:t>
      </w:r>
    </w:p>
    <w:p w14:paraId="304D250D">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textAlignment w:val="auto"/>
        <w:rPr>
          <w:rFonts w:hint="eastAsia" w:ascii="方正楷体_GB2312" w:hAnsi="方正楷体_GB2312" w:eastAsia="方正楷体_GB2312" w:cs="方正楷体_GB2312"/>
          <w:i w:val="0"/>
          <w:iCs w:val="0"/>
          <w:caps w:val="0"/>
          <w:color w:val="0F1115"/>
          <w:spacing w:val="0"/>
          <w:kern w:val="2"/>
          <w:sz w:val="32"/>
          <w:szCs w:val="32"/>
          <w:shd w:val="clear" w:fill="FFFFFF"/>
          <w:lang w:val="en-US" w:eastAsia="zh-CN" w:bidi="ar-SA"/>
        </w:rPr>
      </w:pPr>
      <w:r>
        <w:rPr>
          <w:rFonts w:hint="eastAsia" w:ascii="方正楷体_GB2312" w:hAnsi="方正楷体_GB2312" w:eastAsia="方正楷体_GB2312" w:cs="方正楷体_GB2312"/>
          <w:i w:val="0"/>
          <w:iCs w:val="0"/>
          <w:caps w:val="0"/>
          <w:color w:val="0F1115"/>
          <w:spacing w:val="0"/>
          <w:kern w:val="2"/>
          <w:sz w:val="32"/>
          <w:szCs w:val="32"/>
          <w:shd w:val="clear" w:fill="FFFFFF"/>
          <w:lang w:val="en-US" w:eastAsia="zh-CN" w:bidi="ar-SA"/>
        </w:rPr>
        <w:t>1.融思想铸魂强根基，促立德树人显成效</w:t>
      </w:r>
    </w:p>
    <w:p w14:paraId="665D6AA1">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firstLine="640" w:firstLineChars="200"/>
        <w:textAlignment w:val="auto"/>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pP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支部坚持以“融思想于教学”为路径，将思想政治工作贯穿教育教学全过程，系统推动“党建+课程思政</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深度融合。充分发挥党建引领作用，将习近平新时代中国特色社会主义思想有机融入专业课程体系，构建“红色引擎</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驱动下的教学改革模式，并将思政素养纳入学生核心能力评价指标体系。实践层面成效显著：</w:t>
      </w:r>
      <w:r>
        <w:rPr>
          <w:rFonts w:hint="eastAsia" w:ascii="方正仿宋_GB2312" w:hAnsi="方正仿宋_GB2312" w:eastAsia="方正仿宋_GB2312" w:cs="方正仿宋_GB2312"/>
          <w:color w:val="000000"/>
          <w:kern w:val="0"/>
          <w:sz w:val="32"/>
          <w:szCs w:val="32"/>
          <w:lang w:val="en-US" w:eastAsia="zh-CN" w:bidi="ar"/>
        </w:rPr>
        <w:t>立项省级课程思政教学研究中心1个，省级课程思政典型案例1个，</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标志着“党建+专业</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融合取得重要突破；依托《网店运营与管理》《物流运输组织技术》等课程持续推进“课堂革命</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w:t>
      </w:r>
      <w:r>
        <w:rPr>
          <w:rFonts w:hint="eastAsia" w:ascii="方正仿宋_GB2312" w:hAnsi="方正仿宋_GB2312" w:eastAsia="方正仿宋_GB2312" w:cs="方正仿宋_GB2312"/>
          <w:i w:val="0"/>
          <w:iCs w:val="0"/>
          <w:caps w:val="0"/>
          <w:color w:val="0F1115"/>
          <w:spacing w:val="0"/>
          <w:kern w:val="2"/>
          <w:sz w:val="32"/>
          <w:szCs w:val="32"/>
          <w:shd w:val="clear" w:fill="FFFFFF"/>
          <w:lang w:val="en-US" w:eastAsia="zh-CN" w:bidi="ar-SA"/>
        </w:rPr>
        <w:t>，形成良好示范效应。近两年，支部累计获得省级课程思政典型案例1项、院级课程思政典型案例2项、院级课堂革命案例4项，充分体现党建引领思政教学的扎实成效。</w:t>
      </w:r>
    </w:p>
    <w:p w14:paraId="3EFC180E">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textAlignment w:val="auto"/>
        <w:rPr>
          <w:rFonts w:hint="eastAsia" w:ascii="方正楷体_GB2312" w:hAnsi="方正楷体_GB2312" w:eastAsia="方正楷体_GB2312" w:cs="方正楷体_GB2312"/>
          <w:i w:val="0"/>
          <w:iCs w:val="0"/>
          <w:caps w:val="0"/>
          <w:color w:val="0F1115"/>
          <w:spacing w:val="0"/>
          <w:kern w:val="2"/>
          <w:sz w:val="32"/>
          <w:szCs w:val="32"/>
          <w:shd w:val="clear" w:fill="FFFFFF"/>
          <w:lang w:val="en-US" w:eastAsia="zh-CN" w:bidi="ar-SA"/>
        </w:rPr>
      </w:pPr>
      <w:r>
        <w:rPr>
          <w:rFonts w:hint="eastAsia" w:ascii="方正楷体_GB2312" w:hAnsi="方正楷体_GB2312" w:eastAsia="方正楷体_GB2312" w:cs="方正楷体_GB2312"/>
          <w:i w:val="0"/>
          <w:iCs w:val="0"/>
          <w:caps w:val="0"/>
          <w:color w:val="0F1115"/>
          <w:spacing w:val="0"/>
          <w:kern w:val="2"/>
          <w:sz w:val="32"/>
          <w:szCs w:val="32"/>
          <w:shd w:val="clear" w:fill="FFFFFF"/>
          <w:lang w:val="en-US" w:eastAsia="zh-CN" w:bidi="ar-SA"/>
        </w:rPr>
        <w:t>2.融教科研于实践，促教师发展提质效</w:t>
      </w:r>
    </w:p>
    <w:p w14:paraId="4237A4DD">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left="-99" w:leftChars="-47" w:right="0" w:rightChars="0" w:firstLine="640" w:firstLineChars="200"/>
        <w:textAlignment w:val="auto"/>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支部坚持将教学研究与实践应用深度融合，构建</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教学引领、科研支撑、实践转化”的协同机制，通过三个维度推动教师队伍高质量发展：</w:t>
      </w:r>
    </w:p>
    <w:p w14:paraId="235A5626">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firstLine="640" w:firstLineChars="200"/>
        <w:textAlignment w:val="auto"/>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一是建强组织平台，夯实科研创新基础。 支部创新</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党小组建在科研团队上”模式，围绕广元市</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1345”发展战略组建党员攻关小组。学院现代电商物流研究中心成功获批</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广元市物流数字化工程技术研究中心”，打造了高水平的科研创新平台。李娟教授受聘</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为</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中国知网评审专家库专家，形成了一支结构合理、富有创新活力的教学科研团队。</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2023年以来</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，支部教师累计</w:t>
      </w:r>
      <w:r>
        <w:rPr>
          <w:rFonts w:hint="eastAsia" w:ascii="方正仿宋_GB2312" w:hAnsi="方正仿宋_GB2312" w:eastAsia="方正仿宋_GB2312" w:cs="方正仿宋_GB2312"/>
          <w:color w:val="000000"/>
          <w:kern w:val="0"/>
          <w:sz w:val="32"/>
          <w:szCs w:val="32"/>
          <w:lang w:val="en-US" w:eastAsia="zh-CN" w:bidi="ar"/>
        </w:rPr>
        <w:t>立项</w:t>
      </w:r>
      <w:r>
        <w:rPr>
          <w:rFonts w:hint="eastAsia" w:ascii="方正仿宋_GB2312" w:hAnsi="方正仿宋_GB2312" w:eastAsia="方正仿宋_GB2312" w:cs="方正仿宋_GB2312"/>
          <w:color w:val="000000"/>
          <w:kern w:val="0"/>
          <w:sz w:val="32"/>
          <w:szCs w:val="32"/>
          <w:lang w:val="zh-CN" w:eastAsia="zh-CN" w:bidi="ar"/>
        </w:rPr>
        <w:t>院级以上科研项目立项</w:t>
      </w:r>
      <w:r>
        <w:rPr>
          <w:rFonts w:hint="eastAsia" w:ascii="方正仿宋_GB2312" w:hAnsi="方正仿宋_GB2312" w:eastAsia="方正仿宋_GB2312" w:cs="方正仿宋_GB2312"/>
          <w:color w:val="000000"/>
          <w:kern w:val="0"/>
          <w:sz w:val="32"/>
          <w:szCs w:val="32"/>
          <w:lang w:val="en-US" w:eastAsia="zh-CN" w:bidi="ar"/>
        </w:rPr>
        <w:t>32</w:t>
      </w:r>
      <w:r>
        <w:rPr>
          <w:rFonts w:hint="eastAsia" w:ascii="方正仿宋_GB2312" w:hAnsi="方正仿宋_GB2312" w:eastAsia="方正仿宋_GB2312" w:cs="方正仿宋_GB2312"/>
          <w:color w:val="000000"/>
          <w:kern w:val="0"/>
          <w:sz w:val="32"/>
          <w:szCs w:val="32"/>
          <w:lang w:val="zh-CN" w:eastAsia="zh-CN" w:bidi="ar"/>
        </w:rPr>
        <w:t>项，</w:t>
      </w:r>
      <w:r>
        <w:rPr>
          <w:rFonts w:hint="eastAsia" w:ascii="方正仿宋_GB2312" w:hAnsi="方正仿宋_GB2312" w:eastAsia="方正仿宋_GB2312" w:cs="方正仿宋_GB2312"/>
          <w:color w:val="000000"/>
          <w:kern w:val="0"/>
          <w:sz w:val="32"/>
          <w:szCs w:val="32"/>
          <w:lang w:val="en-US" w:eastAsia="zh-CN" w:bidi="ar"/>
        </w:rPr>
        <w:t>其中省市级17项，公开发表论文14篇。</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二是深化技术赋能，推动教学改革创新。黄婉婷老师参加金砖国家职业技能大赛网络营销赛项荣获全国三等奖，展现了支部教师在专业技能领域的突出水平。支部党员</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廖丽琴</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教师在四川省首届教师人工智能应用能力大赛中荣获一等奖，通过将新技术与专业技能竞赛成果深度融入教学实践，丰富了教学内容和方法。</w:t>
      </w:r>
    </w:p>
    <w:p w14:paraId="368326E2">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firstLine="640" w:firstLineChars="200"/>
        <w:textAlignment w:val="auto"/>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三是强化特色引领，培育创新创业成果。 彭敏老师主持的《坚守</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红旅”初心，打造</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红旅”品牌——高职新商科创新创业人才培养模式探索与实践》教改项目获2023-2025年四川省教育厅立项</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。支部累计</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编写数字化教材2部，为支部在创新创业教育领域提供了重要的理论支撑和实践指导，形成了鲜明的育人特色。</w:t>
      </w:r>
    </w:p>
    <w:p w14:paraId="2F9F5448">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textAlignment w:val="auto"/>
        <w:rPr>
          <w:rFonts w:hint="eastAsia" w:ascii="方正楷体_GB2312" w:hAnsi="方正楷体_GB2312" w:eastAsia="方正楷体_GB2312" w:cs="方正楷体_GB2312"/>
          <w:i w:val="0"/>
          <w:iCs w:val="0"/>
          <w:caps w:val="0"/>
          <w:color w:val="0F1115"/>
          <w:spacing w:val="0"/>
          <w:kern w:val="2"/>
          <w:sz w:val="32"/>
          <w:szCs w:val="32"/>
          <w:shd w:val="clear" w:fill="FFFFFF"/>
          <w:lang w:val="en-US" w:eastAsia="zh-CN" w:bidi="ar-SA"/>
        </w:rPr>
      </w:pPr>
      <w:r>
        <w:rPr>
          <w:rFonts w:hint="eastAsia" w:ascii="方正楷体_GB2312" w:hAnsi="方正楷体_GB2312" w:eastAsia="方正楷体_GB2312" w:cs="方正楷体_GB2312"/>
          <w:i w:val="0"/>
          <w:iCs w:val="0"/>
          <w:caps w:val="0"/>
          <w:color w:val="0F1115"/>
          <w:spacing w:val="0"/>
          <w:kern w:val="2"/>
          <w:sz w:val="32"/>
          <w:szCs w:val="32"/>
          <w:shd w:val="clear" w:fill="FFFFFF"/>
          <w:lang w:val="en-US" w:eastAsia="zh-CN" w:bidi="ar-SA"/>
        </w:rPr>
        <w:t>3.融实践育人炼真功，促成才就业双提升</w:t>
      </w:r>
    </w:p>
    <w:p w14:paraId="408E92DF">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firstLine="640" w:firstLineChars="200"/>
        <w:textAlignment w:val="auto"/>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支部建立</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党员导师全程护航</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机制，选派优秀党员教师结对指导学生创新创业与职业发展，构建全员、全过程、全方位育人体系。在专业技能培养方面，学生竞赛成绩斐然：荣获省级</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中银杯</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供应链赛项一等奖2项、智慧物流赛项二等奖1项，直播电商赛项二等奖1项</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color w:val="000000"/>
          <w:kern w:val="0"/>
          <w:sz w:val="32"/>
          <w:szCs w:val="32"/>
          <w:lang w:val="en-US" w:eastAsia="zh-CN" w:bidi="ar"/>
        </w:rPr>
        <w:t>期间，学生参加各类技能大赛获省级奖项53项</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。支部教师带队走访上海、杭州、重庆等地企业，新建实习基地8个，拓展就业岗位200余个，支部联合企业开展</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麦当劳学徒制班</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市场营销创新实验班</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京东订单班</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w:t>
      </w: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等人才培养模式改革，实现党建与育人同频共振。</w:t>
      </w:r>
    </w:p>
    <w:p w14:paraId="410978F1">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textAlignment w:val="auto"/>
        <w:rPr>
          <w:rFonts w:hint="eastAsia" w:ascii="方正楷体_GB2312" w:hAnsi="方正楷体_GB2312" w:eastAsia="方正楷体_GB2312" w:cs="方正楷体_GB2312"/>
          <w:i w:val="0"/>
          <w:iCs w:val="0"/>
          <w:caps w:val="0"/>
          <w:color w:val="0F1115"/>
          <w:spacing w:val="0"/>
          <w:kern w:val="2"/>
          <w:sz w:val="32"/>
          <w:szCs w:val="32"/>
          <w:shd w:val="clear" w:fill="FFFFFF"/>
          <w:lang w:val="en-US" w:eastAsia="zh-CN" w:bidi="ar-SA"/>
        </w:rPr>
      </w:pPr>
      <w:r>
        <w:rPr>
          <w:rFonts w:hint="eastAsia" w:ascii="方正楷体_GB2312" w:hAnsi="方正楷体_GB2312" w:eastAsia="方正楷体_GB2312" w:cs="方正楷体_GB2312"/>
          <w:i w:val="0"/>
          <w:iCs w:val="0"/>
          <w:caps w:val="0"/>
          <w:color w:val="0F1115"/>
          <w:spacing w:val="0"/>
          <w:kern w:val="2"/>
          <w:sz w:val="32"/>
          <w:szCs w:val="32"/>
          <w:shd w:val="clear" w:fill="FFFFFF"/>
          <w:lang w:val="en-US" w:eastAsia="zh-CN" w:bidi="ar-SA"/>
        </w:rPr>
        <w:t>4.融联建于合作，拓展区域协同新格局</w:t>
      </w:r>
    </w:p>
    <w:p w14:paraId="720B9EBF">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left="0" w:leftChars="0" w:right="0" w:rightChars="0" w:firstLine="640" w:firstLineChars="200"/>
        <w:textAlignment w:val="auto"/>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支部构建“党建引领、业务融合、服务地方”的共建联动新格局，通过校政企合作汇聚发展合力。2024年成功承办广元市第十届互联网营销大赛，党员教师侯新华担任裁判长，彭敏受聘为大赛专家，将党建影响力延伸至社会服务一线。2025年，支部组织党员教师侯新华、黄婉婷、吴雨涵赴苍溪县三会村开展电商直播助农活动，利用数字技能为当地农产品开拓销路；组织学生参与广元市“百镇千村”惠农直播暨广元好茶宣传推介活动，实现人才培养与服务地方经济同频共振。2024年11月，支部赴朝天区中子食品工业园开展主题党日活动，深入对接产业需求；2025年7月，与利州区工业集中发展管委会召开党建共建座谈会，共同打造“资源共享、优势互补、共促共赢”的党建共建新模式，为区域产业数字化转型升级注入全新动能。</w:t>
      </w:r>
    </w:p>
    <w:p w14:paraId="5F589E22">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ind w:right="0" w:rightChars="0" w:firstLine="640" w:firstLineChars="200"/>
        <w:textAlignment w:val="auto"/>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t>电商物流党支部通过系统推进“融思想铸魂、融教科研于实践、融实践育人、融联建于合作”的“四融四促”工作机制，有效实现了党建工作与教育教学、科研创新、人才培养、区域服务等中心任务的有机融合。下一步，支部将持续以“党建+”为引领，进一步做实“红色电商·智慧物流”品牌建设，拓展党建与业务融合的广度与深度，为推动学院高质量发展注入更加坚实的党建动能。</w:t>
      </w:r>
    </w:p>
    <w:p w14:paraId="36881C2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Autospacing="0"/>
        <w:ind w:right="0"/>
        <w:textAlignment w:val="auto"/>
        <w:rPr>
          <w:rFonts w:hint="eastAsia" w:ascii="方正仿宋_GB2312" w:hAnsi="方正仿宋_GB2312" w:eastAsia="方正仿宋_GB2312" w:cs="方正仿宋_GB2312"/>
          <w:i w:val="0"/>
          <w:iCs w:val="0"/>
          <w:caps w:val="0"/>
          <w:color w:val="0F1115"/>
          <w:spacing w:val="0"/>
          <w:sz w:val="32"/>
          <w:szCs w:val="32"/>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EDE590-E679-4050-8CE5-7CD9FA46A0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F4AA22B3-6F4B-4249-8EA0-3D04232A8018}"/>
  </w:font>
  <w:font w:name="仿宋_GB2312">
    <w:altName w:val="仿宋"/>
    <w:panose1 w:val="02010609030101010101"/>
    <w:charset w:val="86"/>
    <w:family w:val="modern"/>
    <w:pitch w:val="default"/>
    <w:sig w:usb0="00000000" w:usb1="0000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MV Boli">
    <w:panose1 w:val="02000500030200090000"/>
    <w:charset w:val="00"/>
    <w:family w:val="auto"/>
    <w:pitch w:val="default"/>
    <w:sig w:usb0="00000003" w:usb1="00000000" w:usb2="00000100" w:usb3="00000000" w:csb0="00000001" w:csb1="00000000"/>
  </w:font>
  <w:font w:name="方正楷体_GB2312">
    <w:panose1 w:val="02000000000000000000"/>
    <w:charset w:val="86"/>
    <w:family w:val="auto"/>
    <w:pitch w:val="default"/>
    <w:sig w:usb0="A00002BF" w:usb1="184F6CFA" w:usb2="00000012" w:usb3="00000000" w:csb0="00040001" w:csb1="00000000"/>
    <w:embedRegular r:id="rId3" w:fontKey="{74899D46-9A46-41EB-AABA-6D9D29AFAF1A}"/>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思源黑体">
    <w:panose1 w:val="020B0500000000090000"/>
    <w:charset w:val="86"/>
    <w:family w:val="auto"/>
    <w:pitch w:val="default"/>
    <w:sig w:usb0="2000000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D6742"/>
    <w:rsid w:val="007E4CA5"/>
    <w:rsid w:val="02217FDE"/>
    <w:rsid w:val="037800D1"/>
    <w:rsid w:val="044C0C16"/>
    <w:rsid w:val="05946D18"/>
    <w:rsid w:val="091837BC"/>
    <w:rsid w:val="0B805353"/>
    <w:rsid w:val="13FF7A53"/>
    <w:rsid w:val="163A2FC4"/>
    <w:rsid w:val="1CF0262F"/>
    <w:rsid w:val="1E127E75"/>
    <w:rsid w:val="246D2CE0"/>
    <w:rsid w:val="24DB5972"/>
    <w:rsid w:val="267F67D1"/>
    <w:rsid w:val="279F712B"/>
    <w:rsid w:val="289E3886"/>
    <w:rsid w:val="2CF021D7"/>
    <w:rsid w:val="2F786963"/>
    <w:rsid w:val="30D42A97"/>
    <w:rsid w:val="351F3659"/>
    <w:rsid w:val="397B107A"/>
    <w:rsid w:val="3A8A5A19"/>
    <w:rsid w:val="3CBB45AF"/>
    <w:rsid w:val="3CF60293"/>
    <w:rsid w:val="3F5D38F6"/>
    <w:rsid w:val="41022B36"/>
    <w:rsid w:val="521E31BF"/>
    <w:rsid w:val="52DE294E"/>
    <w:rsid w:val="52F83A10"/>
    <w:rsid w:val="538621CB"/>
    <w:rsid w:val="53D17DBD"/>
    <w:rsid w:val="57DD6742"/>
    <w:rsid w:val="5D105DFA"/>
    <w:rsid w:val="5EBD0CDD"/>
    <w:rsid w:val="678216A2"/>
    <w:rsid w:val="681D761D"/>
    <w:rsid w:val="6D8223FC"/>
    <w:rsid w:val="6D952394"/>
    <w:rsid w:val="6E761835"/>
    <w:rsid w:val="6F651FD5"/>
    <w:rsid w:val="6F9C351D"/>
    <w:rsid w:val="713A592E"/>
    <w:rsid w:val="785061C7"/>
    <w:rsid w:val="78FF0DA4"/>
    <w:rsid w:val="79960FDD"/>
    <w:rsid w:val="7C6158D2"/>
    <w:rsid w:val="7E4746A1"/>
    <w:rsid w:val="7EA32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Normal (Web)"/>
    <w:basedOn w:val="1"/>
    <w:qFormat/>
    <w:uiPriority w:val="0"/>
    <w:rPr>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1953</Words>
  <Characters>1992</Characters>
  <Lines>0</Lines>
  <Paragraphs>0</Paragraphs>
  <TotalTime>15</TotalTime>
  <ScaleCrop>false</ScaleCrop>
  <LinksUpToDate>false</LinksUpToDate>
  <CharactersWithSpaces>1995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2025-11-01T04:09:00Z</dcterms:created>
  <dc:creator>草尖儿</dc:creator>
  <cp:lastModifiedBy>草尖儿</cp:lastModifiedBy>
  <dcterms:modified xsi:type="dcterms:W3CDTF">2025-11-05T01:16:07Z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E415A19FF14445F59C4AF00DA36B9009_13</vt:lpwstr>
  </property>
  <property fmtid="{D5CDD505-2E9C-101B-9397-08002B2CF9AE}" pid="4" name="KSOTemplateDocerSaveRecord">
    <vt:lpwstr>eyJoZGlkIjoiNzllNmEzNzUxMjY5MTg1MDRlZTYxMjliNzAxMzFhY2EiLCJ1c2VySWQiOiIyMzQ4MjczNzkifQ==</vt:lpwstr>
  </property>
</Properties>
</file>