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98A999A">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t xml:space="preserve">附件2 </w:t>
      </w:r>
    </w:p>
    <w:p w14:paraId="49543175">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sym w:font="Wingdings 2" w:char="00A3"/>
      </w:r>
      <w:r>
        <w:rPr>
          <w:rFonts w:hint="eastAsia" w:ascii="黑体" w:hAnsi="黑体" w:eastAsia="黑体" w:cs="黑体"/>
          <w:color w:val="000000"/>
          <w:kern w:val="0"/>
          <w:sz w:val="32"/>
          <w:szCs w:val="32"/>
          <w:lang w:bidi="ar"/>
        </w:rPr>
        <w:t xml:space="preserve">校级党建工作标杆院系 </w:t>
      </w:r>
    </w:p>
    <w:p w14:paraId="02B3822B">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sym w:font="Wingdings 2" w:char="0052"/>
      </w:r>
      <w:r>
        <w:rPr>
          <w:rFonts w:hint="eastAsia" w:ascii="黑体" w:hAnsi="黑体" w:eastAsia="黑体" w:cs="黑体"/>
          <w:color w:val="000000"/>
          <w:kern w:val="0"/>
          <w:sz w:val="32"/>
          <w:szCs w:val="32"/>
          <w:lang w:bidi="ar"/>
        </w:rPr>
        <w:t xml:space="preserve">校级党建工作样板支部 </w:t>
      </w:r>
    </w:p>
    <w:p w14:paraId="7DD5A1CB">
      <w:pPr>
        <w:widowControl/>
        <w:jc w:val="left"/>
        <w:rPr>
          <w:rFonts w:ascii="黑体" w:hAnsi="黑体" w:eastAsia="黑体" w:cs="黑体"/>
          <w:sz w:val="32"/>
          <w:szCs w:val="32"/>
        </w:rPr>
      </w:pPr>
      <w:r>
        <w:rPr>
          <w:rFonts w:hint="eastAsia" w:ascii="黑体" w:hAnsi="黑体" w:eastAsia="黑体" w:cs="黑体"/>
          <w:color w:val="000000"/>
          <w:kern w:val="0"/>
          <w:sz w:val="32"/>
          <w:szCs w:val="32"/>
          <w:lang w:bidi="ar"/>
        </w:rPr>
        <w:sym w:font="Wingdings 2" w:char="00A3"/>
      </w:r>
      <w:r>
        <w:rPr>
          <w:rFonts w:hint="eastAsia" w:ascii="黑体" w:hAnsi="黑体" w:eastAsia="黑体" w:cs="黑体"/>
          <w:color w:val="000000"/>
          <w:kern w:val="0"/>
          <w:sz w:val="32"/>
          <w:szCs w:val="32"/>
          <w:lang w:bidi="ar"/>
        </w:rPr>
        <w:t>校级“双带头人”教师党支部书记工作室</w:t>
      </w:r>
    </w:p>
    <w:p w14:paraId="47FAAFDD">
      <w:pPr>
        <w:jc w:val="left"/>
      </w:pPr>
    </w:p>
    <w:p w14:paraId="63CA144A"/>
    <w:p w14:paraId="4DC06F3D"/>
    <w:p w14:paraId="7BCC7058"/>
    <w:p w14:paraId="75325D0E"/>
    <w:p w14:paraId="4DAD2A38">
      <w:r>
        <w:rPr>
          <w:rFonts w:hint="eastAsia"/>
        </w:rPr>
        <w:t xml:space="preserve"> </w:t>
      </w:r>
    </w:p>
    <w:p w14:paraId="465143D1"/>
    <w:p w14:paraId="09669DE7"/>
    <w:p w14:paraId="42A47F29">
      <w:pPr>
        <w:widowControl/>
        <w:jc w:val="center"/>
        <w:rPr>
          <w:rFonts w:ascii="方正小标宋简体" w:hAnsi="方正小标宋简体" w:eastAsia="方正小标宋简体" w:cs="方正小标宋简体"/>
          <w:color w:val="000000"/>
          <w:kern w:val="0"/>
          <w:sz w:val="44"/>
          <w:szCs w:val="44"/>
          <w:lang w:bidi="ar"/>
        </w:rPr>
      </w:pPr>
      <w:r>
        <w:rPr>
          <w:rFonts w:ascii="方正小标宋简体" w:hAnsi="方正小标宋简体" w:eastAsia="方正小标宋简体" w:cs="方正小标宋简体"/>
          <w:color w:val="000000"/>
          <w:kern w:val="0"/>
          <w:sz w:val="44"/>
          <w:szCs w:val="44"/>
          <w:lang w:bidi="ar"/>
        </w:rPr>
        <w:t>工 作 验 收 申 请 书</w:t>
      </w:r>
    </w:p>
    <w:p w14:paraId="7E5BACCB">
      <w:pPr>
        <w:widowControl/>
        <w:jc w:val="center"/>
        <w:rPr>
          <w:rFonts w:ascii="方正小标宋简体" w:hAnsi="方正小标宋简体" w:eastAsia="方正小标宋简体" w:cs="方正小标宋简体"/>
          <w:color w:val="000000"/>
          <w:kern w:val="0"/>
          <w:sz w:val="48"/>
          <w:szCs w:val="48"/>
          <w:lang w:bidi="ar"/>
        </w:rPr>
      </w:pPr>
    </w:p>
    <w:p w14:paraId="2B68FEA2">
      <w:pPr>
        <w:widowControl/>
        <w:jc w:val="center"/>
        <w:rPr>
          <w:rFonts w:ascii="方正小标宋简体" w:hAnsi="方正小标宋简体" w:eastAsia="方正小标宋简体" w:cs="方正小标宋简体"/>
          <w:color w:val="000000"/>
          <w:kern w:val="0"/>
          <w:sz w:val="48"/>
          <w:szCs w:val="48"/>
          <w:lang w:bidi="ar"/>
        </w:rPr>
      </w:pPr>
    </w:p>
    <w:p w14:paraId="6C629A79">
      <w:pPr>
        <w:tabs>
          <w:tab w:val="left" w:pos="2421"/>
        </w:tabs>
        <w:jc w:val="left"/>
      </w:pPr>
    </w:p>
    <w:p w14:paraId="71E44199">
      <w:pPr>
        <w:widowControl/>
        <w:jc w:val="left"/>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bidi="ar"/>
        </w:rPr>
        <w:t>二级学院名称：</w:t>
      </w:r>
      <w:r>
        <w:rPr>
          <w:rFonts w:hint="eastAsia" w:ascii="仿宋_GB2312" w:hAnsi="仿宋_GB2312" w:eastAsia="仿宋_GB2312" w:cs="仿宋_GB2312"/>
          <w:color w:val="000000"/>
          <w:kern w:val="0"/>
          <w:sz w:val="32"/>
          <w:szCs w:val="32"/>
          <w:lang w:val="en-US" w:eastAsia="zh-CN" w:bidi="ar"/>
        </w:rPr>
        <w:t>马克思主义学院</w:t>
      </w:r>
    </w:p>
    <w:p w14:paraId="051440C7">
      <w:pPr>
        <w:widowControl/>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项 目 负责人：</w:t>
      </w:r>
      <w:r>
        <w:rPr>
          <w:rFonts w:hint="eastAsia" w:ascii="仿宋_GB2312" w:hAnsi="仿宋_GB2312" w:eastAsia="仿宋_GB2312" w:cs="仿宋_GB2312"/>
          <w:color w:val="000000"/>
          <w:kern w:val="0"/>
          <w:sz w:val="32"/>
          <w:szCs w:val="32"/>
          <w:lang w:val="en-US" w:eastAsia="zh-CN" w:bidi="ar"/>
        </w:rPr>
        <w:t>强娇娇</w:t>
      </w:r>
      <w:r>
        <w:rPr>
          <w:rFonts w:hint="eastAsia" w:ascii="仿宋_GB2312" w:hAnsi="仿宋_GB2312" w:eastAsia="仿宋_GB2312" w:cs="仿宋_GB2312"/>
          <w:color w:val="000000"/>
          <w:kern w:val="0"/>
          <w:sz w:val="32"/>
          <w:szCs w:val="32"/>
          <w:lang w:bidi="ar"/>
        </w:rPr>
        <w:t xml:space="preserve"> </w:t>
      </w:r>
    </w:p>
    <w:p w14:paraId="66F8D85E">
      <w:pPr>
        <w:widowControl/>
        <w:jc w:val="left"/>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联 系 电 话 ：</w:t>
      </w:r>
      <w:r>
        <w:rPr>
          <w:rFonts w:hint="eastAsia" w:ascii="仿宋_GB2312" w:hAnsi="仿宋_GB2312" w:eastAsia="仿宋_GB2312" w:cs="仿宋_GB2312"/>
          <w:color w:val="000000"/>
          <w:kern w:val="0"/>
          <w:sz w:val="32"/>
          <w:szCs w:val="32"/>
          <w:lang w:val="en-US" w:eastAsia="zh-CN" w:bidi="ar"/>
        </w:rPr>
        <w:t>19981874869</w:t>
      </w:r>
      <w:r>
        <w:rPr>
          <w:rFonts w:hint="eastAsia" w:ascii="仿宋_GB2312" w:hAnsi="仿宋_GB2312" w:eastAsia="仿宋_GB2312" w:cs="仿宋_GB2312"/>
          <w:color w:val="000000"/>
          <w:kern w:val="0"/>
          <w:sz w:val="32"/>
          <w:szCs w:val="32"/>
          <w:lang w:bidi="ar"/>
        </w:rPr>
        <w:t xml:space="preserve"> </w:t>
      </w:r>
    </w:p>
    <w:p w14:paraId="5DADE567">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填 报 日 期 ：</w:t>
      </w:r>
      <w:r>
        <w:rPr>
          <w:rFonts w:hint="eastAsia" w:ascii="仿宋_GB2312" w:hAnsi="仿宋_GB2312" w:eastAsia="仿宋_GB2312" w:cs="仿宋_GB2312"/>
          <w:color w:val="000000"/>
          <w:kern w:val="0"/>
          <w:sz w:val="32"/>
          <w:szCs w:val="32"/>
          <w:lang w:val="en-US" w:eastAsia="zh-CN" w:bidi="ar"/>
        </w:rPr>
        <w:t>2025年11月5日</w:t>
      </w:r>
    </w:p>
    <w:p w14:paraId="519F9579">
      <w:pPr>
        <w:widowControl/>
        <w:jc w:val="left"/>
        <w:rPr>
          <w:rFonts w:ascii="华文楷体" w:hAnsi="华文楷体" w:eastAsia="华文楷体" w:cs="华文楷体"/>
          <w:color w:val="000000"/>
          <w:kern w:val="0"/>
          <w:sz w:val="28"/>
          <w:szCs w:val="28"/>
          <w:lang w:bidi="ar"/>
        </w:rPr>
      </w:pPr>
    </w:p>
    <w:p w14:paraId="26DAD643">
      <w:pPr>
        <w:widowControl/>
        <w:jc w:val="left"/>
        <w:rPr>
          <w:rFonts w:ascii="华文楷体" w:hAnsi="华文楷体" w:eastAsia="华文楷体" w:cs="华文楷体"/>
          <w:color w:val="000000"/>
          <w:kern w:val="0"/>
          <w:sz w:val="28"/>
          <w:szCs w:val="28"/>
          <w:lang w:bidi="ar"/>
        </w:rPr>
      </w:pPr>
    </w:p>
    <w:p w14:paraId="3B2ADA9F">
      <w:pPr>
        <w:widowControl/>
        <w:jc w:val="left"/>
        <w:rPr>
          <w:rFonts w:ascii="华文楷体" w:hAnsi="华文楷体" w:eastAsia="华文楷体" w:cs="华文楷体"/>
          <w:color w:val="000000"/>
          <w:kern w:val="0"/>
          <w:sz w:val="28"/>
          <w:szCs w:val="28"/>
          <w:lang w:bidi="ar"/>
        </w:rPr>
      </w:pPr>
    </w:p>
    <w:p w14:paraId="3416A477">
      <w:pPr>
        <w:widowControl/>
        <w:jc w:val="center"/>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中共四川信息职业技术学院委员会</w:t>
      </w:r>
    </w:p>
    <w:p w14:paraId="7ADC914B">
      <w:pPr>
        <w:widowControl/>
        <w:jc w:val="center"/>
        <w:rPr>
          <w:rFonts w:ascii="仿宋_GB2312" w:hAnsi="仿宋_GB2312" w:eastAsia="仿宋_GB2312" w:cs="仿宋_GB2312"/>
          <w:sz w:val="32"/>
          <w:szCs w:val="32"/>
        </w:rPr>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pPr>
      <w:r>
        <w:rPr>
          <w:rFonts w:hint="eastAsia" w:ascii="仿宋_GB2312" w:hAnsi="仿宋_GB2312" w:eastAsia="仿宋_GB2312" w:cs="仿宋_GB2312"/>
          <w:color w:val="000000"/>
          <w:kern w:val="0"/>
          <w:sz w:val="32"/>
          <w:szCs w:val="32"/>
          <w:lang w:bidi="ar"/>
        </w:rPr>
        <w:t>202</w:t>
      </w:r>
      <w:r>
        <w:rPr>
          <w:rFonts w:ascii="仿宋_GB2312" w:hAnsi="仿宋_GB2312" w:eastAsia="仿宋_GB2312" w:cs="仿宋_GB2312"/>
          <w:color w:val="000000"/>
          <w:kern w:val="0"/>
          <w:sz w:val="32"/>
          <w:szCs w:val="32"/>
          <w:lang w:bidi="ar"/>
        </w:rPr>
        <w:t>5</w:t>
      </w:r>
      <w:r>
        <w:rPr>
          <w:rFonts w:hint="eastAsia" w:ascii="仿宋_GB2312" w:hAnsi="仿宋_GB2312" w:eastAsia="仿宋_GB2312" w:cs="仿宋_GB2312"/>
          <w:color w:val="000000"/>
          <w:kern w:val="0"/>
          <w:sz w:val="32"/>
          <w:szCs w:val="32"/>
          <w:lang w:bidi="ar"/>
        </w:rPr>
        <w:t xml:space="preserve"> 年 </w:t>
      </w:r>
      <w:r>
        <w:rPr>
          <w:rFonts w:ascii="仿宋_GB2312" w:hAnsi="仿宋_GB2312" w:eastAsia="仿宋_GB2312" w:cs="仿宋_GB2312"/>
          <w:color w:val="000000"/>
          <w:kern w:val="0"/>
          <w:sz w:val="32"/>
          <w:szCs w:val="32"/>
          <w:lang w:bidi="ar"/>
        </w:rPr>
        <w:t>9</w:t>
      </w:r>
      <w:r>
        <w:rPr>
          <w:rFonts w:hint="eastAsia" w:ascii="仿宋_GB2312" w:hAnsi="仿宋_GB2312" w:eastAsia="仿宋_GB2312" w:cs="仿宋_GB2312"/>
          <w:color w:val="000000"/>
          <w:kern w:val="0"/>
          <w:sz w:val="32"/>
          <w:szCs w:val="32"/>
          <w:lang w:bidi="ar"/>
        </w:rPr>
        <w:t>月</w:t>
      </w:r>
    </w:p>
    <w:p w14:paraId="66039474">
      <w:pPr>
        <w:widowControl/>
        <w:rPr>
          <w:rFonts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一、基本信息</w:t>
      </w:r>
    </w:p>
    <w:tbl>
      <w:tblPr>
        <w:tblStyle w:val="12"/>
        <w:tblW w:w="9699"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1"/>
        <w:gridCol w:w="2414"/>
        <w:gridCol w:w="2531"/>
        <w:gridCol w:w="2533"/>
      </w:tblGrid>
      <w:tr w14:paraId="5BF503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58" w:hRule="atLeast"/>
        </w:trPr>
        <w:tc>
          <w:tcPr>
            <w:tcW w:w="2221" w:type="dxa"/>
            <w:vAlign w:val="center"/>
          </w:tcPr>
          <w:p w14:paraId="278D53B1">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建设单位名称</w:t>
            </w:r>
          </w:p>
        </w:tc>
        <w:tc>
          <w:tcPr>
            <w:tcW w:w="7478" w:type="dxa"/>
            <w:gridSpan w:val="3"/>
            <w:vAlign w:val="center"/>
          </w:tcPr>
          <w:p w14:paraId="03B1308F">
            <w:pPr>
              <w:widowControl/>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val="en-US" w:eastAsia="zh-CN" w:bidi="ar"/>
              </w:rPr>
              <w:t>马克思主义</w:t>
            </w:r>
            <w:r>
              <w:rPr>
                <w:rFonts w:hint="eastAsia" w:ascii="仿宋_GB2312" w:hAnsi="仿宋_GB2312" w:eastAsia="仿宋_GB2312" w:cs="仿宋_GB2312"/>
                <w:color w:val="000000"/>
                <w:kern w:val="0"/>
                <w:sz w:val="32"/>
                <w:szCs w:val="32"/>
                <w:lang w:bidi="ar"/>
              </w:rPr>
              <w:t>学院党总支</w:t>
            </w:r>
            <w:r>
              <w:rPr>
                <w:rFonts w:hint="eastAsia" w:ascii="仿宋_GB2312" w:hAnsi="仿宋_GB2312" w:eastAsia="仿宋_GB2312" w:cs="仿宋_GB2312"/>
                <w:color w:val="000000"/>
                <w:kern w:val="0"/>
                <w:sz w:val="32"/>
                <w:szCs w:val="32"/>
                <w:lang w:val="en-US" w:eastAsia="zh-CN" w:bidi="ar"/>
              </w:rPr>
              <w:t>德法概论党支部（基础</w:t>
            </w:r>
            <w:r>
              <w:rPr>
                <w:rFonts w:hint="eastAsia" w:ascii="仿宋_GB2312" w:hAnsi="仿宋_GB2312" w:eastAsia="仿宋_GB2312" w:cs="仿宋_GB2312"/>
                <w:color w:val="000000"/>
                <w:kern w:val="0"/>
                <w:sz w:val="32"/>
                <w:szCs w:val="32"/>
                <w:lang w:bidi="ar"/>
              </w:rPr>
              <w:t>党支部</w:t>
            </w:r>
            <w:r>
              <w:rPr>
                <w:rFonts w:hint="eastAsia" w:ascii="仿宋_GB2312" w:hAnsi="仿宋_GB2312" w:eastAsia="仿宋_GB2312" w:cs="仿宋_GB2312"/>
                <w:color w:val="000000"/>
                <w:kern w:val="0"/>
                <w:sz w:val="32"/>
                <w:szCs w:val="32"/>
                <w:lang w:val="en-US" w:eastAsia="zh-CN" w:bidi="ar"/>
              </w:rPr>
              <w:t>）</w:t>
            </w:r>
          </w:p>
        </w:tc>
      </w:tr>
      <w:tr w14:paraId="7B9C2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6" w:hRule="atLeast"/>
        </w:trPr>
        <w:tc>
          <w:tcPr>
            <w:tcW w:w="2221" w:type="dxa"/>
            <w:vAlign w:val="center"/>
          </w:tcPr>
          <w:p w14:paraId="62436A24">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建设类型</w:t>
            </w:r>
          </w:p>
        </w:tc>
        <w:tc>
          <w:tcPr>
            <w:tcW w:w="7478" w:type="dxa"/>
            <w:gridSpan w:val="3"/>
            <w:vAlign w:val="center"/>
          </w:tcPr>
          <w:p w14:paraId="486C9749">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sym w:font="Wingdings 2" w:char="00A3"/>
            </w:r>
            <w:r>
              <w:rPr>
                <w:rFonts w:hint="eastAsia" w:ascii="仿宋_GB2312" w:hAnsi="仿宋_GB2312" w:eastAsia="仿宋_GB2312" w:cs="仿宋_GB2312"/>
                <w:color w:val="000000"/>
                <w:kern w:val="0"/>
                <w:sz w:val="32"/>
                <w:szCs w:val="32"/>
                <w:lang w:bidi="ar"/>
              </w:rPr>
              <w:t xml:space="preserve">校级党建工作标杆院系 </w:t>
            </w:r>
          </w:p>
          <w:p w14:paraId="7B4393CE">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sym w:font="Wingdings 2" w:char="0052"/>
            </w:r>
            <w:r>
              <w:rPr>
                <w:rFonts w:hint="eastAsia" w:ascii="仿宋_GB2312" w:hAnsi="仿宋_GB2312" w:eastAsia="仿宋_GB2312" w:cs="仿宋_GB2312"/>
                <w:color w:val="000000"/>
                <w:kern w:val="0"/>
                <w:sz w:val="32"/>
                <w:szCs w:val="32"/>
                <w:lang w:bidi="ar"/>
              </w:rPr>
              <w:t xml:space="preserve">校级党建工作样板支部 </w:t>
            </w:r>
          </w:p>
          <w:p w14:paraId="28A0501B">
            <w:pPr>
              <w:widowControl/>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sym w:font="Wingdings 2" w:char="00A3"/>
            </w:r>
            <w:r>
              <w:rPr>
                <w:rFonts w:hint="eastAsia" w:ascii="仿宋_GB2312" w:hAnsi="仿宋_GB2312" w:eastAsia="仿宋_GB2312" w:cs="仿宋_GB2312"/>
                <w:color w:val="000000"/>
                <w:kern w:val="0"/>
                <w:sz w:val="32"/>
                <w:szCs w:val="32"/>
                <w:lang w:bidi="ar"/>
              </w:rPr>
              <w:t>校级“双带头人”教师党支部书记工作室</w:t>
            </w:r>
          </w:p>
        </w:tc>
      </w:tr>
      <w:tr w14:paraId="630A15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3" w:hRule="atLeast"/>
        </w:trPr>
        <w:tc>
          <w:tcPr>
            <w:tcW w:w="2221" w:type="dxa"/>
            <w:vMerge w:val="restart"/>
            <w:vAlign w:val="center"/>
          </w:tcPr>
          <w:p w14:paraId="05DA1C7D">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负责人</w:t>
            </w:r>
          </w:p>
        </w:tc>
        <w:tc>
          <w:tcPr>
            <w:tcW w:w="2414" w:type="dxa"/>
            <w:vAlign w:val="center"/>
          </w:tcPr>
          <w:p w14:paraId="14E5EF4E">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姓名</w:t>
            </w:r>
          </w:p>
        </w:tc>
        <w:tc>
          <w:tcPr>
            <w:tcW w:w="2531" w:type="dxa"/>
            <w:vAlign w:val="center"/>
          </w:tcPr>
          <w:p w14:paraId="0F645F75">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职务</w:t>
            </w:r>
            <w:r>
              <w:rPr>
                <w:rFonts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bidi="ar"/>
              </w:rPr>
              <w:t>职称</w:t>
            </w:r>
          </w:p>
        </w:tc>
        <w:tc>
          <w:tcPr>
            <w:tcW w:w="2533" w:type="dxa"/>
            <w:vAlign w:val="center"/>
          </w:tcPr>
          <w:p w14:paraId="4811AE14">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办公电话/手机</w:t>
            </w:r>
          </w:p>
        </w:tc>
      </w:tr>
      <w:tr w14:paraId="20DB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3" w:hRule="atLeast"/>
        </w:trPr>
        <w:tc>
          <w:tcPr>
            <w:tcW w:w="2221" w:type="dxa"/>
            <w:vMerge w:val="continue"/>
            <w:vAlign w:val="center"/>
          </w:tcPr>
          <w:p w14:paraId="359EE80E">
            <w:pPr>
              <w:widowControl/>
              <w:jc w:val="center"/>
              <w:rPr>
                <w:rFonts w:ascii="仿宋_GB2312" w:hAnsi="仿宋_GB2312" w:eastAsia="仿宋_GB2312" w:cs="仿宋_GB2312"/>
                <w:color w:val="000000"/>
                <w:kern w:val="0"/>
                <w:sz w:val="32"/>
                <w:szCs w:val="32"/>
                <w:lang w:bidi="ar"/>
              </w:rPr>
            </w:pPr>
          </w:p>
        </w:tc>
        <w:tc>
          <w:tcPr>
            <w:tcW w:w="2414" w:type="dxa"/>
            <w:vAlign w:val="center"/>
          </w:tcPr>
          <w:p w14:paraId="7A230B2C">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强娇娇</w:t>
            </w:r>
          </w:p>
        </w:tc>
        <w:tc>
          <w:tcPr>
            <w:tcW w:w="2531" w:type="dxa"/>
            <w:vAlign w:val="center"/>
          </w:tcPr>
          <w:p w14:paraId="4A2A1B22">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概论教研室主任/讲师</w:t>
            </w:r>
          </w:p>
        </w:tc>
        <w:tc>
          <w:tcPr>
            <w:tcW w:w="2533" w:type="dxa"/>
            <w:vAlign w:val="center"/>
          </w:tcPr>
          <w:p w14:paraId="7520F7C8">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19981874869</w:t>
            </w:r>
          </w:p>
        </w:tc>
      </w:tr>
      <w:tr w14:paraId="0BFBB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trPr>
        <w:tc>
          <w:tcPr>
            <w:tcW w:w="2221" w:type="dxa"/>
            <w:vMerge w:val="restart"/>
            <w:vAlign w:val="center"/>
          </w:tcPr>
          <w:p w14:paraId="5A8865C4">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联系人</w:t>
            </w:r>
          </w:p>
        </w:tc>
        <w:tc>
          <w:tcPr>
            <w:tcW w:w="2414" w:type="dxa"/>
            <w:vAlign w:val="center"/>
          </w:tcPr>
          <w:p w14:paraId="05F49F2D">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姓名</w:t>
            </w:r>
          </w:p>
        </w:tc>
        <w:tc>
          <w:tcPr>
            <w:tcW w:w="2531" w:type="dxa"/>
            <w:vAlign w:val="center"/>
          </w:tcPr>
          <w:p w14:paraId="4D4033F1">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职务</w:t>
            </w:r>
            <w:r>
              <w:rPr>
                <w:rFonts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bidi="ar"/>
              </w:rPr>
              <w:t>职称</w:t>
            </w:r>
          </w:p>
        </w:tc>
        <w:tc>
          <w:tcPr>
            <w:tcW w:w="2533" w:type="dxa"/>
            <w:vAlign w:val="center"/>
          </w:tcPr>
          <w:p w14:paraId="7298D2EF">
            <w:pPr>
              <w:widowControl/>
              <w:jc w:val="center"/>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办公电话</w:t>
            </w:r>
            <w:r>
              <w:rPr>
                <w:rFonts w:ascii="仿宋_GB2312" w:hAnsi="仿宋_GB2312" w:eastAsia="仿宋_GB2312" w:cs="仿宋_GB2312"/>
                <w:color w:val="000000"/>
                <w:kern w:val="0"/>
                <w:sz w:val="32"/>
                <w:szCs w:val="32"/>
                <w:lang w:bidi="ar"/>
              </w:rPr>
              <w:t>/</w:t>
            </w:r>
            <w:r>
              <w:rPr>
                <w:rFonts w:hint="eastAsia" w:ascii="仿宋_GB2312" w:hAnsi="仿宋_GB2312" w:eastAsia="仿宋_GB2312" w:cs="仿宋_GB2312"/>
                <w:color w:val="000000"/>
                <w:kern w:val="0"/>
                <w:sz w:val="32"/>
                <w:szCs w:val="32"/>
                <w:lang w:bidi="ar"/>
              </w:rPr>
              <w:t>手机</w:t>
            </w:r>
          </w:p>
        </w:tc>
      </w:tr>
      <w:tr w14:paraId="51643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8" w:hRule="atLeast"/>
        </w:trPr>
        <w:tc>
          <w:tcPr>
            <w:tcW w:w="2221" w:type="dxa"/>
            <w:vMerge w:val="continue"/>
            <w:vAlign w:val="center"/>
          </w:tcPr>
          <w:p w14:paraId="2DAF9E27">
            <w:pPr>
              <w:widowControl/>
            </w:pPr>
          </w:p>
        </w:tc>
        <w:tc>
          <w:tcPr>
            <w:tcW w:w="2414" w:type="dxa"/>
            <w:shd w:val="clear" w:color="auto" w:fill="auto"/>
            <w:vAlign w:val="center"/>
          </w:tcPr>
          <w:p w14:paraId="3EBD1E63">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强娇娇</w:t>
            </w:r>
          </w:p>
        </w:tc>
        <w:tc>
          <w:tcPr>
            <w:tcW w:w="2531" w:type="dxa"/>
            <w:shd w:val="clear" w:color="auto" w:fill="auto"/>
            <w:vAlign w:val="center"/>
          </w:tcPr>
          <w:p w14:paraId="4D2071BD">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概论教研室主任/讲师</w:t>
            </w:r>
          </w:p>
        </w:tc>
        <w:tc>
          <w:tcPr>
            <w:tcW w:w="2533" w:type="dxa"/>
            <w:shd w:val="clear" w:color="auto" w:fill="auto"/>
            <w:vAlign w:val="center"/>
          </w:tcPr>
          <w:p w14:paraId="593CB94C">
            <w:pPr>
              <w:widowControl/>
              <w:jc w:val="center"/>
              <w:rPr>
                <w:rFonts w:hint="default" w:ascii="仿宋_GB2312" w:hAnsi="仿宋_GB2312" w:eastAsia="仿宋_GB2312" w:cs="仿宋_GB2312"/>
                <w:color w:val="000000"/>
                <w:kern w:val="0"/>
                <w:sz w:val="32"/>
                <w:szCs w:val="32"/>
                <w:lang w:val="en-US" w:eastAsia="zh-CN" w:bidi="ar"/>
              </w:rPr>
            </w:pPr>
            <w:r>
              <w:rPr>
                <w:rFonts w:hint="eastAsia" w:ascii="仿宋_GB2312" w:hAnsi="仿宋_GB2312" w:eastAsia="仿宋_GB2312" w:cs="仿宋_GB2312"/>
                <w:color w:val="000000"/>
                <w:kern w:val="0"/>
                <w:sz w:val="32"/>
                <w:szCs w:val="32"/>
                <w:lang w:val="en-US" w:eastAsia="zh-CN" w:bidi="ar"/>
              </w:rPr>
              <w:t>19981874869</w:t>
            </w:r>
          </w:p>
        </w:tc>
      </w:tr>
    </w:tbl>
    <w:p w14:paraId="337CF872">
      <w:pPr>
        <w:widowControl/>
        <w:rPr>
          <w:rFonts w:ascii="黑体" w:hAnsi="黑体" w:eastAsia="黑体" w:cs="黑体"/>
          <w:color w:val="000000"/>
          <w:kern w:val="0"/>
          <w:sz w:val="32"/>
          <w:szCs w:val="32"/>
          <w:lang w:bidi="ar"/>
        </w:rPr>
      </w:pPr>
      <w:r>
        <w:rPr>
          <w:rFonts w:hint="eastAsia" w:ascii="黑体" w:hAnsi="黑体" w:eastAsia="黑体" w:cs="黑体"/>
          <w:color w:val="000000"/>
          <w:kern w:val="0"/>
          <w:sz w:val="32"/>
          <w:szCs w:val="32"/>
          <w:lang w:bidi="ar"/>
        </w:rPr>
        <w:t>二、验收自查总结</w:t>
      </w:r>
    </w:p>
    <w:tbl>
      <w:tblPr>
        <w:tblStyle w:val="12"/>
        <w:tblW w:w="9720" w:type="dxa"/>
        <w:tblInd w:w="-5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0"/>
      </w:tblGrid>
      <w:tr w14:paraId="574575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720" w:type="dxa"/>
          </w:tcPr>
          <w:p w14:paraId="20460F3A">
            <w:pPr>
              <w:widowControl/>
              <w:rPr>
                <w:rFonts w:hint="default" w:ascii="楷体" w:hAnsi="楷体" w:eastAsia="楷体" w:cs="楷体"/>
                <w:b w:val="0"/>
                <w:bCs w:val="0"/>
                <w:color w:val="FF0000"/>
                <w:sz w:val="28"/>
                <w:szCs w:val="28"/>
                <w:lang w:val="en-US" w:eastAsia="zh-CN"/>
              </w:rPr>
            </w:pPr>
            <w:r>
              <w:rPr>
                <w:rFonts w:hint="eastAsia" w:ascii="楷体" w:hAnsi="楷体" w:eastAsia="楷体" w:cs="楷体"/>
                <w:b/>
                <w:bCs/>
                <w:sz w:val="32"/>
                <w:szCs w:val="32"/>
              </w:rPr>
              <w:t>（一）重点任务完成情况清单</w:t>
            </w:r>
          </w:p>
          <w:p w14:paraId="4D5335B0">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ind w:firstLine="560" w:firstLineChars="200"/>
              <w:textAlignment w:val="auto"/>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马克思主义学院德法概论党支部（基础党支部）样板党支部自创建以来，</w:t>
            </w:r>
          </w:p>
          <w:p w14:paraId="455F0E8C">
            <w:pPr>
              <w:pStyle w:val="4"/>
              <w:keepNext w:val="0"/>
              <w:keepLines w:val="0"/>
              <w:pageBreakBefore w:val="0"/>
              <w:widowControl w:val="0"/>
              <w:numPr>
                <w:ilvl w:val="0"/>
                <w:numId w:val="0"/>
              </w:numPr>
              <w:kinsoku/>
              <w:wordWrap/>
              <w:overflowPunct/>
              <w:topLinePunct w:val="0"/>
              <w:autoSpaceDE/>
              <w:autoSpaceDN/>
              <w:bidi w:val="0"/>
              <w:adjustRightInd/>
              <w:snapToGrid/>
              <w:spacing w:line="520" w:lineRule="exact"/>
              <w:textAlignment w:val="auto"/>
              <w:rPr>
                <w:rFonts w:hint="default"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kern w:val="2"/>
                <w:sz w:val="28"/>
                <w:szCs w:val="28"/>
                <w:lang w:val="en-US" w:eastAsia="zh-CN" w:bidi="zh-CN"/>
              </w:rPr>
              <w:t>以团队建设为轴心，以提升组织力为重点，</w:t>
            </w:r>
            <w:r>
              <w:rPr>
                <w:rFonts w:hint="eastAsia" w:ascii="仿宋_GB2312" w:hAnsi="仿宋_GB2312" w:eastAsia="仿宋_GB2312" w:cs="仿宋_GB2312"/>
                <w:b w:val="0"/>
                <w:bCs w:val="0"/>
                <w:kern w:val="2"/>
                <w:sz w:val="28"/>
                <w:szCs w:val="28"/>
                <w:lang w:val="en-US" w:eastAsia="zh-CN" w:bidi="ar-SA"/>
              </w:rPr>
              <w:t>不断完善“五大机制”运行模式，对标样板党支部要求，聚焦队伍提能，提升党员战斗力</w:t>
            </w:r>
            <w:r>
              <w:rPr>
                <w:rFonts w:hint="eastAsia" w:cs="仿宋_GB2312"/>
                <w:b w:val="0"/>
                <w:bCs w:val="0"/>
                <w:kern w:val="2"/>
                <w:sz w:val="28"/>
                <w:szCs w:val="28"/>
                <w:lang w:val="en-US" w:eastAsia="zh-CN" w:bidi="ar-SA"/>
              </w:rPr>
              <w:t>，顺利完成</w:t>
            </w:r>
            <w:r>
              <w:rPr>
                <w:rFonts w:hint="eastAsia" w:cs="仿宋_GB2312"/>
                <w:kern w:val="2"/>
                <w:sz w:val="28"/>
                <w:szCs w:val="28"/>
                <w:lang w:val="en-US" w:eastAsia="zh-CN" w:bidi="zh-CN"/>
              </w:rPr>
              <w:t>各年度工作目标。</w:t>
            </w:r>
            <w:r>
              <w:rPr>
                <w:rFonts w:hint="eastAsia" w:cs="仿宋_GB2312"/>
                <w:b/>
                <w:bCs/>
                <w:kern w:val="2"/>
                <w:sz w:val="28"/>
                <w:szCs w:val="28"/>
                <w:lang w:val="en-US" w:eastAsia="zh-CN" w:bidi="zh-CN"/>
              </w:rPr>
              <w:t>具体见下表：</w:t>
            </w:r>
          </w:p>
          <w:tbl>
            <w:tblPr>
              <w:tblStyle w:val="12"/>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79"/>
              <w:gridCol w:w="7842"/>
            </w:tblGrid>
            <w:tr w14:paraId="4D38C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79" w:type="dxa"/>
                  <w:vAlign w:val="center"/>
                </w:tcPr>
                <w:p w14:paraId="60372E10">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8"/>
                      <w:szCs w:val="28"/>
                      <w:lang w:val="en-US" w:eastAsia="zh-CN" w:bidi="zh-CN"/>
                    </w:rPr>
                  </w:pPr>
                  <w:r>
                    <w:rPr>
                      <w:rFonts w:hint="eastAsia" w:ascii="仿宋_GB2312" w:hAnsi="仿宋_GB2312" w:eastAsia="仿宋_GB2312" w:cs="仿宋_GB2312"/>
                      <w:b/>
                      <w:bCs/>
                      <w:kern w:val="2"/>
                      <w:sz w:val="28"/>
                      <w:szCs w:val="28"/>
                      <w:lang w:val="en-US" w:eastAsia="zh-CN" w:bidi="zh-CN"/>
                    </w:rPr>
                    <w:t>类别</w:t>
                  </w:r>
                </w:p>
              </w:tc>
              <w:tc>
                <w:tcPr>
                  <w:tcW w:w="7842" w:type="dxa"/>
                  <w:vAlign w:val="center"/>
                </w:tcPr>
                <w:p w14:paraId="44244C3A">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8"/>
                      <w:szCs w:val="28"/>
                      <w:lang w:val="en-US" w:eastAsia="zh-CN" w:bidi="zh-CN"/>
                    </w:rPr>
                  </w:pPr>
                  <w:r>
                    <w:rPr>
                      <w:rFonts w:hint="eastAsia" w:ascii="仿宋_GB2312" w:hAnsi="仿宋_GB2312" w:eastAsia="仿宋_GB2312" w:cs="仿宋_GB2312"/>
                      <w:b/>
                      <w:bCs/>
                      <w:kern w:val="2"/>
                      <w:sz w:val="28"/>
                      <w:szCs w:val="28"/>
                      <w:lang w:val="en-US" w:eastAsia="zh-CN" w:bidi="zh-CN"/>
                    </w:rPr>
                    <w:t>重点任务落实详情</w:t>
                  </w:r>
                </w:p>
              </w:tc>
            </w:tr>
            <w:tr w14:paraId="699A2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679" w:type="dxa"/>
                  <w:vAlign w:val="center"/>
                </w:tcPr>
                <w:p w14:paraId="6783DA6E">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教育党员有力</w:t>
                  </w:r>
                </w:p>
                <w:p w14:paraId="65E5D401">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default" w:ascii="仿宋_GB2312" w:hAnsi="仿宋_GB2312" w:eastAsia="仿宋_GB2312" w:cs="仿宋_GB2312"/>
                      <w:b/>
                      <w:bCs/>
                      <w:kern w:val="2"/>
                      <w:sz w:val="24"/>
                      <w:szCs w:val="24"/>
                      <w:lang w:val="en-US" w:eastAsia="zh-CN" w:bidi="zh-CN"/>
                    </w:rPr>
                  </w:pPr>
                </w:p>
              </w:tc>
              <w:tc>
                <w:tcPr>
                  <w:tcW w:w="7842" w:type="dxa"/>
                  <w:vAlign w:val="top"/>
                </w:tcPr>
                <w:p w14:paraId="2EF99A15">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1.实行多样化学习方式。通过“理论学+实践学”“线上学+线下学”“走出去学+引进来学”，丰富学习内容，坚定理想信念；</w:t>
                  </w:r>
                </w:p>
                <w:p w14:paraId="5F7FA5BF">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2.落实“三会一课”制度。每月召开1次支委会，每季度召开1次党员大会，党支部书记讲2次党课；</w:t>
                  </w:r>
                </w:p>
                <w:p w14:paraId="0E32C8D4">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3.开展好“红色星期五”主题党日活动；</w:t>
                  </w:r>
                </w:p>
                <w:p w14:paraId="69F0A1F3">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4.组织党员赴红色革命基地、乡村振兴示范基地、三线建设基地等开展社会实践10余次。</w:t>
                  </w:r>
                </w:p>
              </w:tc>
            </w:tr>
            <w:tr w14:paraId="4FDC4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679" w:type="dxa"/>
                  <w:vAlign w:val="center"/>
                </w:tcPr>
                <w:p w14:paraId="70F86CD7">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管理党员有力</w:t>
                  </w:r>
                </w:p>
                <w:p w14:paraId="6580BE4C">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p>
              </w:tc>
              <w:tc>
                <w:tcPr>
                  <w:tcW w:w="7842" w:type="dxa"/>
                  <w:vAlign w:val="top"/>
                </w:tcPr>
                <w:p w14:paraId="411FE5C2">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1.严格党员发展程序，确保支部1名预备党员按时转正；</w:t>
                  </w:r>
                </w:p>
                <w:p w14:paraId="733BE7AB">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2.把两名党员教师发展成为骨干教师；</w:t>
                  </w:r>
                </w:p>
                <w:p w14:paraId="61EEAFD7">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3.充分运用马院积分制APP，及时掌握党员积分情况、党费缴纳情况、学习情况等，促进党员管理的严格化；</w:t>
                  </w:r>
                </w:p>
                <w:p w14:paraId="303347DB">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4.组织党员教师进行不少于32学时的集中学习培训。</w:t>
                  </w:r>
                </w:p>
              </w:tc>
            </w:tr>
            <w:tr w14:paraId="4777C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679" w:type="dxa"/>
                  <w:vAlign w:val="center"/>
                </w:tcPr>
                <w:p w14:paraId="778A9835">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监督党员有力</w:t>
                  </w:r>
                </w:p>
                <w:p w14:paraId="03C2A852">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p>
              </w:tc>
              <w:tc>
                <w:tcPr>
                  <w:tcW w:w="7842" w:type="dxa"/>
                  <w:vAlign w:val="top"/>
                </w:tcPr>
                <w:p w14:paraId="63F7706B">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1.落实谈心谈话制度，每年支委之间、支委和党员之间、党员和党员之间，谈心谈话3次，凝聚发展正能量；</w:t>
                  </w:r>
                </w:p>
                <w:p w14:paraId="684BEBA5">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2.每年高标准召开1次组织生活会；</w:t>
                  </w:r>
                </w:p>
                <w:p w14:paraId="50EB9D16">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3.每学期向马院党总支报告1次支部工作，年度向支部党员大会报告工作情况，党员向党支部汇报1次学习、思想和工作情况，支部开展1次民主评议党员；</w:t>
                  </w:r>
                </w:p>
                <w:p w14:paraId="3CAB6F2E">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4.党支部纪检委员参与、监督支部各项活动及各类物资采购，监督党员严守纪律底线，推动形成良好作风。</w:t>
                  </w:r>
                </w:p>
              </w:tc>
            </w:tr>
            <w:tr w14:paraId="0B69EE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5" w:hRule="atLeast"/>
              </w:trPr>
              <w:tc>
                <w:tcPr>
                  <w:tcW w:w="1679" w:type="dxa"/>
                  <w:vAlign w:val="center"/>
                </w:tcPr>
                <w:p w14:paraId="67AB63B9">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组织师生有力</w:t>
                  </w:r>
                </w:p>
                <w:p w14:paraId="15BBE340">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p>
              </w:tc>
              <w:tc>
                <w:tcPr>
                  <w:tcW w:w="7842" w:type="dxa"/>
                  <w:vAlign w:val="top"/>
                </w:tcPr>
                <w:p w14:paraId="5750880A">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1.坚持“每周一讲”精品课，“每月一评”积分制，培养党员教师2名教师成为“党员先锋岗”；</w:t>
                  </w:r>
                </w:p>
                <w:p w14:paraId="108D3B16">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2.成立乡村振兴调研组，赴青川县张家村、剑阁县双旗村、旺苍县三合村等5个村进行实地走访，撰写调研报告，为地方发展建言献策；</w:t>
                  </w:r>
                </w:p>
                <w:p w14:paraId="73186C66">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3.利用思政课“实践月”，组织5000余名学生进行社会实践教学。</w:t>
                  </w:r>
                </w:p>
              </w:tc>
            </w:tr>
            <w:tr w14:paraId="1CF93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679" w:type="dxa"/>
                  <w:vAlign w:val="center"/>
                </w:tcPr>
                <w:p w14:paraId="6EA737BC">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宣传师生有力</w:t>
                  </w:r>
                </w:p>
                <w:p w14:paraId="3C30FEF6">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p>
              </w:tc>
              <w:tc>
                <w:tcPr>
                  <w:tcW w:w="7842" w:type="dxa"/>
                  <w:vAlign w:val="top"/>
                </w:tcPr>
                <w:p w14:paraId="050329C4">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1.定期召开党员专题学习大会，学习上级会议精神；</w:t>
                  </w:r>
                </w:p>
                <w:p w14:paraId="43084D2C">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2.组建宣讲团，为学校中心组、各二级学院及社会各领域进行理论宣讲20余次；</w:t>
                  </w:r>
                </w:p>
                <w:p w14:paraId="15DD0DC5">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3.通过学院官网、微信公众号等平台，宣传优秀党员及支部特色工作。</w:t>
                  </w:r>
                </w:p>
              </w:tc>
            </w:tr>
            <w:tr w14:paraId="6A191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679" w:type="dxa"/>
                  <w:vAlign w:val="center"/>
                </w:tcPr>
                <w:p w14:paraId="0BFB6E77">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凝聚师生有力</w:t>
                  </w:r>
                </w:p>
                <w:p w14:paraId="35B339CB">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p>
              </w:tc>
              <w:tc>
                <w:tcPr>
                  <w:tcW w:w="7842" w:type="dxa"/>
                  <w:vAlign w:val="top"/>
                </w:tcPr>
                <w:p w14:paraId="4F8FA708">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1.党支部共建，与青川县张家村、青坪村、剑阁县双旗村、双溪村、旺苍县三合村等5个村党支部进行共建；</w:t>
                  </w:r>
                </w:p>
                <w:p w14:paraId="2143FE4E">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2.2名老师积极参与到各二级学院课程思政示范建设中；</w:t>
                  </w:r>
                </w:p>
                <w:p w14:paraId="3FB5AA8A">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3.党支部工作与业务工作相融合，及时开展科研研讨，申报党建相关课题10余项；</w:t>
                  </w:r>
                </w:p>
                <w:p w14:paraId="4F4F0C45">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4.撰写相关党建论文5篇；</w:t>
                  </w:r>
                </w:p>
                <w:p w14:paraId="2E2859D2">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lang w:val="en-US" w:eastAsia="zh-CN"/>
                    </w:rPr>
                  </w:pPr>
                  <w:r>
                    <w:rPr>
                      <w:rFonts w:hint="eastAsia" w:ascii="仿宋_GB2312" w:hAnsi="仿宋_GB2312" w:eastAsia="仿宋_GB2312" w:cs="仿宋_GB2312"/>
                      <w:kern w:val="2"/>
                      <w:sz w:val="24"/>
                      <w:szCs w:val="24"/>
                      <w:lang w:val="en-US" w:eastAsia="zh-CN" w:bidi="zh-CN"/>
                    </w:rPr>
                    <w:t>5.成功打造一门省级示范课程。</w:t>
                  </w:r>
                </w:p>
              </w:tc>
            </w:tr>
            <w:tr w14:paraId="3DBCD8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5" w:hRule="atLeast"/>
              </w:trPr>
              <w:tc>
                <w:tcPr>
                  <w:tcW w:w="1679" w:type="dxa"/>
                  <w:vAlign w:val="center"/>
                </w:tcPr>
                <w:p w14:paraId="0E442CFC">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服务师生有力</w:t>
                  </w:r>
                </w:p>
                <w:p w14:paraId="3FB7F360">
                  <w:pPr>
                    <w:keepNext w:val="0"/>
                    <w:keepLines w:val="0"/>
                    <w:pageBreakBefore w:val="0"/>
                    <w:widowControl w:val="0"/>
                    <w:numPr>
                      <w:ilvl w:val="0"/>
                      <w:numId w:val="0"/>
                    </w:numPr>
                    <w:kinsoku/>
                    <w:wordWrap/>
                    <w:overflowPunct/>
                    <w:topLinePunct w:val="0"/>
                    <w:autoSpaceDE/>
                    <w:autoSpaceDN/>
                    <w:bidi w:val="0"/>
                    <w:adjustRightInd/>
                    <w:snapToGrid/>
                    <w:spacing w:line="520" w:lineRule="exact"/>
                    <w:jc w:val="center"/>
                    <w:textAlignment w:val="auto"/>
                    <w:rPr>
                      <w:rFonts w:hint="eastAsia" w:ascii="仿宋_GB2312" w:hAnsi="仿宋_GB2312" w:eastAsia="仿宋_GB2312" w:cs="仿宋_GB2312"/>
                      <w:b/>
                      <w:bCs/>
                      <w:kern w:val="2"/>
                      <w:sz w:val="24"/>
                      <w:szCs w:val="24"/>
                      <w:lang w:val="en-US" w:eastAsia="zh-CN" w:bidi="zh-CN"/>
                    </w:rPr>
                  </w:pPr>
                </w:p>
              </w:tc>
              <w:tc>
                <w:tcPr>
                  <w:tcW w:w="7842" w:type="dxa"/>
                  <w:vAlign w:val="top"/>
                </w:tcPr>
                <w:p w14:paraId="11D9E770">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eastAsia" w:ascii="仿宋_GB2312" w:hAnsi="仿宋_GB2312" w:eastAsia="仿宋_GB2312" w:cs="仿宋_GB2312"/>
                      <w:kern w:val="2"/>
                      <w:sz w:val="24"/>
                      <w:szCs w:val="24"/>
                      <w:lang w:val="zh-CN" w:eastAsia="zh-CN" w:bidi="zh-CN"/>
                    </w:rPr>
                  </w:pPr>
                  <w:r>
                    <w:rPr>
                      <w:rFonts w:hint="eastAsia" w:ascii="仿宋_GB2312" w:hAnsi="仿宋_GB2312" w:eastAsia="仿宋_GB2312" w:cs="仿宋_GB2312"/>
                      <w:kern w:val="2"/>
                      <w:sz w:val="24"/>
                      <w:szCs w:val="24"/>
                      <w:lang w:val="en-US" w:eastAsia="zh-CN" w:bidi="zh-CN"/>
                    </w:rPr>
                    <w:t>1.</w:t>
                  </w:r>
                  <w:r>
                    <w:rPr>
                      <w:rFonts w:hint="eastAsia" w:ascii="仿宋_GB2312" w:hAnsi="仿宋_GB2312" w:eastAsia="仿宋_GB2312" w:cs="仿宋_GB2312"/>
                      <w:kern w:val="2"/>
                      <w:sz w:val="24"/>
                      <w:szCs w:val="24"/>
                      <w:lang w:val="zh-CN" w:eastAsia="zh-CN" w:bidi="zh-CN"/>
                    </w:rPr>
                    <w:t>实施“带拉驱动”帮扶机制，</w:t>
                  </w:r>
                  <w:r>
                    <w:rPr>
                      <w:rFonts w:hint="eastAsia" w:ascii="仿宋_GB2312" w:hAnsi="仿宋_GB2312" w:eastAsia="仿宋_GB2312" w:cs="仿宋_GB2312"/>
                      <w:kern w:val="2"/>
                      <w:sz w:val="24"/>
                      <w:szCs w:val="24"/>
                      <w:lang w:val="en-US" w:eastAsia="zh-CN" w:bidi="zh-CN"/>
                    </w:rPr>
                    <w:t>在业务工作方面先进帮后进，共带领5名老师共同进步</w:t>
                  </w:r>
                  <w:r>
                    <w:rPr>
                      <w:rFonts w:hint="eastAsia" w:ascii="仿宋_GB2312" w:hAnsi="仿宋_GB2312" w:eastAsia="仿宋_GB2312" w:cs="仿宋_GB2312"/>
                      <w:kern w:val="2"/>
                      <w:sz w:val="24"/>
                      <w:szCs w:val="24"/>
                      <w:lang w:val="zh-CN" w:eastAsia="zh-CN" w:bidi="zh-CN"/>
                    </w:rPr>
                    <w:t>；</w:t>
                  </w:r>
                </w:p>
                <w:p w14:paraId="5C1D59FA">
                  <w:pPr>
                    <w:keepNext w:val="0"/>
                    <w:keepLines w:val="0"/>
                    <w:pageBreakBefore w:val="0"/>
                    <w:widowControl w:val="0"/>
                    <w:numPr>
                      <w:ilvl w:val="0"/>
                      <w:numId w:val="0"/>
                    </w:numPr>
                    <w:kinsoku/>
                    <w:wordWrap/>
                    <w:overflowPunct/>
                    <w:topLinePunct w:val="0"/>
                    <w:autoSpaceDE/>
                    <w:autoSpaceDN/>
                    <w:bidi w:val="0"/>
                    <w:adjustRightInd/>
                    <w:snapToGrid/>
                    <w:spacing w:line="460" w:lineRule="exact"/>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2.指导学生参加习近平新时代中国特色社会主义思想大学习领航计划，获教育部三等奖2项，四川省一等奖2项、二等奖1项。</w:t>
                  </w:r>
                </w:p>
              </w:tc>
            </w:tr>
          </w:tbl>
          <w:p w14:paraId="20FBEA66">
            <w:pPr>
              <w:pStyle w:val="2"/>
              <w:ind w:left="0" w:leftChars="0" w:firstLine="0" w:firstLineChars="0"/>
              <w:jc w:val="both"/>
            </w:pPr>
          </w:p>
        </w:tc>
      </w:tr>
      <w:tr w14:paraId="3CD84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26" w:hRule="atLeast"/>
        </w:trPr>
        <w:tc>
          <w:tcPr>
            <w:tcW w:w="9720" w:type="dxa"/>
          </w:tcPr>
          <w:p w14:paraId="0D8A595B">
            <w:pPr>
              <w:widowControl/>
              <w:numPr>
                <w:ilvl w:val="0"/>
                <w:numId w:val="0"/>
              </w:numPr>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二</w:t>
            </w:r>
            <w:r>
              <w:rPr>
                <w:rFonts w:hint="eastAsia" w:ascii="楷体" w:hAnsi="楷体" w:eastAsia="楷体" w:cs="楷体"/>
                <w:b/>
                <w:bCs/>
                <w:sz w:val="32"/>
                <w:szCs w:val="32"/>
                <w:lang w:eastAsia="zh-CN"/>
              </w:rPr>
              <w:t>）</w:t>
            </w:r>
            <w:r>
              <w:rPr>
                <w:rFonts w:hint="eastAsia" w:ascii="楷体" w:hAnsi="楷体" w:eastAsia="楷体" w:cs="楷体"/>
                <w:b/>
                <w:bCs/>
                <w:sz w:val="32"/>
                <w:szCs w:val="32"/>
              </w:rPr>
              <w:t>重要措施落实情况清单</w:t>
            </w:r>
          </w:p>
          <w:p w14:paraId="66FEA22D">
            <w:pPr>
              <w:widowControl/>
              <w:numPr>
                <w:ilvl w:val="0"/>
                <w:numId w:val="0"/>
              </w:numPr>
              <w:ind w:firstLine="560" w:firstLineChars="200"/>
              <w:rPr>
                <w:rFonts w:hint="eastAsia" w:ascii="仿宋_GB2312" w:hAnsi="仿宋_GB2312" w:eastAsia="仿宋_GB2312" w:cs="仿宋_GB2312"/>
                <w:b w:val="0"/>
                <w:bCs w:val="0"/>
                <w:kern w:val="2"/>
                <w:sz w:val="28"/>
                <w:szCs w:val="28"/>
                <w:lang w:val="en-US" w:eastAsia="zh-CN" w:bidi="ar-SA"/>
              </w:rPr>
            </w:pPr>
            <w:r>
              <w:rPr>
                <w:rFonts w:hint="eastAsia" w:ascii="仿宋_GB2312" w:hAnsi="仿宋_GB2312" w:eastAsia="仿宋_GB2312" w:cs="仿宋_GB2312"/>
                <w:b w:val="0"/>
                <w:bCs w:val="0"/>
                <w:kern w:val="2"/>
                <w:sz w:val="28"/>
                <w:szCs w:val="28"/>
                <w:lang w:val="en-US" w:eastAsia="zh-CN" w:bidi="ar-SA"/>
              </w:rPr>
              <w:t>马克思主义学院德法概论党支部（基础党支部）样板党支部自创建以来，在体制机制、组织机构、队伍建设方面，高质量完成相关任务；在资源投入、硬件设施、经费支持方面，经费公开透明，专款专用；在申报时创建思路、建设措施方面，严格完成相关规定动作；在机制创新、实践创新、方法创新方面，采用线上线下相结合的方式进行创新。</w:t>
            </w:r>
            <w:r>
              <w:rPr>
                <w:rFonts w:hint="eastAsia" w:ascii="仿宋_GB2312" w:hAnsi="仿宋_GB2312" w:eastAsia="仿宋_GB2312" w:cs="仿宋_GB2312"/>
                <w:b/>
                <w:bCs/>
                <w:kern w:val="2"/>
                <w:sz w:val="28"/>
                <w:szCs w:val="28"/>
                <w:lang w:val="en-US" w:eastAsia="zh-CN" w:bidi="ar-SA"/>
              </w:rPr>
              <w:t xml:space="preserve">具体见下表： </w:t>
            </w:r>
            <w:r>
              <w:rPr>
                <w:rFonts w:hint="eastAsia" w:ascii="仿宋_GB2312" w:hAnsi="仿宋_GB2312" w:eastAsia="仿宋_GB2312" w:cs="仿宋_GB2312"/>
                <w:b w:val="0"/>
                <w:bCs w:val="0"/>
                <w:kern w:val="2"/>
                <w:sz w:val="28"/>
                <w:szCs w:val="28"/>
                <w:lang w:val="en-US" w:eastAsia="zh-CN" w:bidi="ar-SA"/>
              </w:rPr>
              <w:t xml:space="preserve"> </w:t>
            </w:r>
          </w:p>
          <w:tbl>
            <w:tblPr>
              <w:tblStyle w:val="1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1"/>
              <w:gridCol w:w="2057"/>
              <w:gridCol w:w="6346"/>
            </w:tblGrid>
            <w:tr w14:paraId="4E8F9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tcPr>
                <w:p w14:paraId="0C27C0A4">
                  <w:pPr>
                    <w:pStyle w:val="2"/>
                    <w:pageBreakBefore w:val="0"/>
                    <w:widowControl w:val="0"/>
                    <w:kinsoku/>
                    <w:wordWrap/>
                    <w:overflowPunct/>
                    <w:topLinePunct w:val="0"/>
                    <w:autoSpaceDE/>
                    <w:autoSpaceDN/>
                    <w:bidi w:val="0"/>
                    <w:adjustRightInd/>
                    <w:snapToGrid/>
                    <w:spacing w:before="0" w:after="0" w:line="360" w:lineRule="exact"/>
                    <w:ind w:left="0" w:leftChars="0" w:firstLine="0" w:firstLineChars="0"/>
                    <w:jc w:val="center"/>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核心类别</w:t>
                  </w:r>
                </w:p>
              </w:tc>
              <w:tc>
                <w:tcPr>
                  <w:tcW w:w="2057" w:type="dxa"/>
                </w:tcPr>
                <w:p w14:paraId="78BF8D7B">
                  <w:pPr>
                    <w:pStyle w:val="2"/>
                    <w:pageBreakBefore w:val="0"/>
                    <w:widowControl w:val="0"/>
                    <w:kinsoku/>
                    <w:wordWrap/>
                    <w:overflowPunct/>
                    <w:topLinePunct w:val="0"/>
                    <w:autoSpaceDE/>
                    <w:autoSpaceDN/>
                    <w:bidi w:val="0"/>
                    <w:adjustRightInd/>
                    <w:snapToGrid/>
                    <w:spacing w:before="0" w:after="0" w:line="360" w:lineRule="exact"/>
                    <w:jc w:val="center"/>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具体事项</w:t>
                  </w:r>
                </w:p>
              </w:tc>
              <w:tc>
                <w:tcPr>
                  <w:tcW w:w="6346" w:type="dxa"/>
                </w:tcPr>
                <w:p w14:paraId="65284F10">
                  <w:pPr>
                    <w:pStyle w:val="2"/>
                    <w:pageBreakBefore w:val="0"/>
                    <w:widowControl w:val="0"/>
                    <w:kinsoku/>
                    <w:wordWrap/>
                    <w:overflowPunct/>
                    <w:topLinePunct w:val="0"/>
                    <w:autoSpaceDE/>
                    <w:autoSpaceDN/>
                    <w:bidi w:val="0"/>
                    <w:adjustRightInd/>
                    <w:snapToGrid/>
                    <w:spacing w:before="0" w:after="0" w:line="360" w:lineRule="exact"/>
                    <w:jc w:val="center"/>
                    <w:textAlignment w:val="auto"/>
                    <w:rPr>
                      <w:rFonts w:hint="eastAsia" w:asciiTheme="minorEastAsia" w:hAnsiTheme="minorEastAsia" w:eastAsiaTheme="minorEastAsia" w:cstheme="minorEastAsia"/>
                      <w:sz w:val="21"/>
                      <w:szCs w:val="21"/>
                      <w:vertAlign w:val="baseline"/>
                    </w:rPr>
                  </w:pPr>
                  <w:r>
                    <w:rPr>
                      <w:rFonts w:hint="eastAsia" w:asciiTheme="minorEastAsia" w:hAnsiTheme="minorEastAsia" w:eastAsiaTheme="minorEastAsia" w:cstheme="minorEastAsia"/>
                      <w:sz w:val="21"/>
                      <w:szCs w:val="21"/>
                    </w:rPr>
                    <w:t>落实详情</w:t>
                  </w:r>
                </w:p>
              </w:tc>
            </w:tr>
            <w:tr w14:paraId="4464E0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Merge w:val="restart"/>
                  <w:vAlign w:val="top"/>
                </w:tcPr>
                <w:p w14:paraId="7A53EB6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0A82E41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50D32FB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35BB8F1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6182E00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74D4A02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51C09C5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10F7413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p w14:paraId="42A652A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一、体制机制、组织机构、队伍建设</w:t>
                  </w:r>
                </w:p>
              </w:tc>
              <w:tc>
                <w:tcPr>
                  <w:tcW w:w="2057" w:type="dxa"/>
                  <w:vAlign w:val="center"/>
                </w:tcPr>
                <w:p w14:paraId="01B7C4FB">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 体制机制建设</w:t>
                  </w:r>
                </w:p>
              </w:tc>
              <w:tc>
                <w:tcPr>
                  <w:tcW w:w="6346" w:type="dxa"/>
                  <w:vAlign w:val="top"/>
                </w:tcPr>
                <w:p w14:paraId="269F212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1.落实“三会一课”标准化，每月1次支委会、每季度1次党员大会+党课，结合“学习强国”实现线上线下融合，党员参与率 98%以上；</w:t>
                  </w:r>
                </w:p>
                <w:p w14:paraId="30859314">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2.健全监督考核机制，制定《党员量化考核指标》，每年开展1次民主评议党员。</w:t>
                  </w:r>
                </w:p>
              </w:tc>
            </w:tr>
            <w:tr w14:paraId="17253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Merge w:val="continue"/>
                </w:tcPr>
                <w:p w14:paraId="137B740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tc>
              <w:tc>
                <w:tcPr>
                  <w:tcW w:w="2057" w:type="dxa"/>
                  <w:vAlign w:val="center"/>
                </w:tcPr>
                <w:p w14:paraId="645A8294">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 组织机构建设</w:t>
                  </w:r>
                </w:p>
              </w:tc>
              <w:tc>
                <w:tcPr>
                  <w:tcW w:w="6346" w:type="dxa"/>
                  <w:vAlign w:val="top"/>
                </w:tcPr>
                <w:p w14:paraId="6F138FA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1.规范班子设置：选举支部书记1名、组织委员1名、纪检委员1名，平均年龄30岁，队伍建设呈现年轻化、专业化；</w:t>
                  </w:r>
                </w:p>
                <w:p w14:paraId="7F57980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2.创新“校内+校外联动”模式，校内和旅游党支部共建，校外和旺苍县三合村、剑阁县双旗村等党支部共建。</w:t>
                  </w:r>
                </w:p>
              </w:tc>
            </w:tr>
            <w:tr w14:paraId="56A020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Merge w:val="continue"/>
                </w:tcPr>
                <w:p w14:paraId="6E4A744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tc>
              <w:tc>
                <w:tcPr>
                  <w:tcW w:w="2057" w:type="dxa"/>
                  <w:vAlign w:val="center"/>
                </w:tcPr>
                <w:p w14:paraId="2D09ECFB">
                  <w:pPr>
                    <w:pStyle w:val="17"/>
                    <w:pageBreakBefore w:val="0"/>
                    <w:widowControl w:val="0"/>
                    <w:kinsoku/>
                    <w:wordWrap/>
                    <w:overflowPunct/>
                    <w:topLinePunct w:val="0"/>
                    <w:autoSpaceDE/>
                    <w:autoSpaceDN/>
                    <w:bidi w:val="0"/>
                    <w:adjustRightInd/>
                    <w:snapToGrid/>
                    <w:spacing w:before="0" w:after="0" w:line="360" w:lineRule="exact"/>
                    <w:ind w:left="0" w:leftChars="0"/>
                    <w:jc w:val="both"/>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 队伍建设</w:t>
                  </w:r>
                </w:p>
              </w:tc>
              <w:tc>
                <w:tcPr>
                  <w:tcW w:w="6346" w:type="dxa"/>
                  <w:vAlign w:val="top"/>
                </w:tcPr>
                <w:p w14:paraId="277DA668">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1.实施“党员先锋培育计划”：把2名党员培养成优秀教师，2名党员培养成骨干教师；1名党员入选“四川省优秀教育工作者”；1名党员入选“四川省思政课教师年度人物入围”。</w:t>
                  </w:r>
                </w:p>
                <w:p w14:paraId="66D6B517">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3.多名党员教师积极参加各级各类教学比赛，累计获特等奖1次、一等奖10余次。</w:t>
                  </w:r>
                </w:p>
                <w:p w14:paraId="079E976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4.支部党员累计主持市厅级及以上课题30余项，主研各级各类课题40余项。2名党员系列论文获广元市首届哲学社会科学奖二、三等奖。</w:t>
                  </w:r>
                </w:p>
              </w:tc>
            </w:tr>
            <w:tr w14:paraId="089C03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091" w:type="dxa"/>
                  <w:vMerge w:val="restart"/>
                  <w:vAlign w:val="top"/>
                </w:tcPr>
                <w:p w14:paraId="541FE65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5AA6EEA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5BACE16E">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2452A24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0D7CFD0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二、资源投入、硬件设施、经费支持</w:t>
                  </w:r>
                </w:p>
              </w:tc>
              <w:tc>
                <w:tcPr>
                  <w:tcW w:w="2057" w:type="dxa"/>
                  <w:vAlign w:val="center"/>
                </w:tcPr>
                <w:p w14:paraId="5D0886DA">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 资源投入保障</w:t>
                  </w:r>
                </w:p>
              </w:tc>
              <w:tc>
                <w:tcPr>
                  <w:tcW w:w="6346" w:type="dxa"/>
                  <w:vAlign w:val="top"/>
                </w:tcPr>
                <w:p w14:paraId="2FE0127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1.整合共建资源，与青川县青坪村、张家村、剑阁县双旗村、双西村、旺苍县三合村5个党支部共建，共享学习资料、实践基地，联合开展实践研学、业务交流6次；</w:t>
                  </w:r>
                </w:p>
                <w:p w14:paraId="6984E87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2.智慧马院整合地方各种红色文化资源，</w:t>
                  </w:r>
                </w:p>
              </w:tc>
            </w:tr>
            <w:tr w14:paraId="61C71C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091" w:type="dxa"/>
                  <w:vMerge w:val="continue"/>
                  <w:vAlign w:val="top"/>
                </w:tcPr>
                <w:p w14:paraId="1F8F99D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tc>
              <w:tc>
                <w:tcPr>
                  <w:tcW w:w="2057" w:type="dxa"/>
                  <w:vAlign w:val="center"/>
                </w:tcPr>
                <w:p w14:paraId="5FA798E3">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 硬件设施建设</w:t>
                  </w:r>
                </w:p>
              </w:tc>
              <w:tc>
                <w:tcPr>
                  <w:tcW w:w="6346" w:type="dxa"/>
                  <w:vAlign w:val="top"/>
                </w:tcPr>
                <w:p w14:paraId="07371B3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1.建成30㎡标准化党员活动室，配备党建书籍150余册、会议设备、党旗党徽、文化墙等；</w:t>
                  </w:r>
                </w:p>
                <w:p w14:paraId="7CF18C3A">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2.搭建数字化平台，构建智慧马院，形成“一院三基地”平台，助力党员活动更好开展。</w:t>
                  </w:r>
                </w:p>
              </w:tc>
            </w:tr>
            <w:tr w14:paraId="329BA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1091" w:type="dxa"/>
                  <w:vMerge w:val="continue"/>
                  <w:vAlign w:val="top"/>
                </w:tcPr>
                <w:p w14:paraId="112C13C4">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tc>
              <w:tc>
                <w:tcPr>
                  <w:tcW w:w="2057" w:type="dxa"/>
                  <w:vAlign w:val="center"/>
                </w:tcPr>
                <w:p w14:paraId="5163CE50">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 经费支持保障</w:t>
                  </w:r>
                </w:p>
              </w:tc>
              <w:tc>
                <w:tcPr>
                  <w:tcW w:w="6346" w:type="dxa"/>
                  <w:vAlign w:val="top"/>
                </w:tcPr>
                <w:p w14:paraId="739AF99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1.两年共计预算拨付专项经费3万元，专款专用，用于资料购置、活动组织等；</w:t>
                  </w:r>
                </w:p>
                <w:p w14:paraId="2151E70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2.经费公开透明，每季度公示使用情况，无违规记录。</w:t>
                  </w:r>
                </w:p>
              </w:tc>
            </w:tr>
            <w:tr w14:paraId="5E8D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Merge w:val="restart"/>
                  <w:vAlign w:val="top"/>
                </w:tcPr>
                <w:p w14:paraId="48C1BB6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4F31E4B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6F7BE2B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三、申报时创建思路、建设措施</w:t>
                  </w:r>
                </w:p>
              </w:tc>
              <w:tc>
                <w:tcPr>
                  <w:tcW w:w="2057" w:type="dxa"/>
                  <w:vAlign w:val="center"/>
                </w:tcPr>
                <w:p w14:paraId="0B68EEDB">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 创建思路落地</w:t>
                  </w:r>
                </w:p>
              </w:tc>
              <w:tc>
                <w:tcPr>
                  <w:tcW w:w="6346" w:type="dxa"/>
                  <w:vAlign w:val="top"/>
                </w:tcPr>
                <w:p w14:paraId="5A8CD0DE">
                  <w:pPr>
                    <w:keepNext/>
                    <w:keepLines/>
                    <w:pageBreakBefore w:val="0"/>
                    <w:widowControl w:val="0"/>
                    <w:kinsoku/>
                    <w:wordWrap/>
                    <w:overflowPunct/>
                    <w:topLinePunct w:val="0"/>
                    <w:autoSpaceDE/>
                    <w:autoSpaceDN/>
                    <w:bidi w:val="0"/>
                    <w:adjustRightInd/>
                    <w:snapToGrid/>
                    <w:spacing w:line="360" w:lineRule="exact"/>
                    <w:contextualSpacing/>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支部以“加减乘除”工作法为引领，“五大运行机制”为保障，“七个有力”为目标，着力打造支部党建品牌，构筑“以党建促业务，以业务强党建”互动双赢的新局面。</w:t>
                  </w:r>
                </w:p>
              </w:tc>
            </w:tr>
            <w:tr w14:paraId="487E1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4" w:hRule="atLeast"/>
              </w:trPr>
              <w:tc>
                <w:tcPr>
                  <w:tcW w:w="1091" w:type="dxa"/>
                  <w:vMerge w:val="continue"/>
                  <w:vAlign w:val="top"/>
                </w:tcPr>
                <w:p w14:paraId="7A57EE7E">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tc>
              <w:tc>
                <w:tcPr>
                  <w:tcW w:w="2057" w:type="dxa"/>
                  <w:vAlign w:val="center"/>
                </w:tcPr>
                <w:p w14:paraId="3266EC5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 建设措施落实</w:t>
                  </w:r>
                </w:p>
              </w:tc>
              <w:tc>
                <w:tcPr>
                  <w:tcW w:w="6346" w:type="dxa"/>
                  <w:vAlign w:val="top"/>
                </w:tcPr>
                <w:p w14:paraId="2BAEFC20">
                  <w:pPr>
                    <w:pStyle w:val="17"/>
                    <w:keepNext w:val="0"/>
                    <w:keepLines w:val="0"/>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1.品牌活动创建工程，“打造红色研学”“川信宣讲团”，开展研学10次、宣讲12场，覆盖超1000人次；</w:t>
                  </w:r>
                </w:p>
                <w:p w14:paraId="4960F214">
                  <w:pPr>
                    <w:pStyle w:val="17"/>
                    <w:keepNext w:val="0"/>
                    <w:keepLines w:val="0"/>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3.能力素质提升工程，组织党员参加培训、研讨会15人次，2人获“优秀共产党员”、2人获业务骨干。</w:t>
                  </w:r>
                </w:p>
              </w:tc>
            </w:tr>
            <w:tr w14:paraId="4713C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Merge w:val="restart"/>
                  <w:vAlign w:val="top"/>
                </w:tcPr>
                <w:p w14:paraId="2C02200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0E2CD96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p>
                <w:p w14:paraId="2C0E63E7">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四、机制创新、实践创新、方法创新</w:t>
                  </w:r>
                </w:p>
              </w:tc>
              <w:tc>
                <w:tcPr>
                  <w:tcW w:w="2057" w:type="dxa"/>
                  <w:vAlign w:val="center"/>
                </w:tcPr>
                <w:p w14:paraId="720ED0F0">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 机制创新</w:t>
                  </w:r>
                </w:p>
              </w:tc>
              <w:tc>
                <w:tcPr>
                  <w:tcW w:w="6346" w:type="dxa"/>
                  <w:vAlign w:val="top"/>
                </w:tcPr>
                <w:p w14:paraId="076BBEE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构建“青老结对、师生共建”机制，开展帮扶活动6次，促进共同成长。</w:t>
                  </w:r>
                </w:p>
              </w:tc>
            </w:tr>
            <w:tr w14:paraId="54941A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Merge w:val="continue"/>
                  <w:vAlign w:val="top"/>
                </w:tcPr>
                <w:p w14:paraId="59476C7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tc>
              <w:tc>
                <w:tcPr>
                  <w:tcW w:w="2057" w:type="dxa"/>
                  <w:vAlign w:val="center"/>
                </w:tcPr>
                <w:p w14:paraId="27E73427">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 实践创新</w:t>
                  </w:r>
                </w:p>
              </w:tc>
              <w:tc>
                <w:tcPr>
                  <w:tcW w:w="6346" w:type="dxa"/>
                  <w:vAlign w:val="top"/>
                </w:tcPr>
                <w:p w14:paraId="0C4F59C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1.开展“红色云游览”，借助VR技术“云参观”红色基地；</w:t>
                  </w:r>
                </w:p>
                <w:p w14:paraId="39D89C0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2.实施“党建 +乡村振兴”，深入基层调研，形成1份咨政报告，被中共广元市委采纳。</w:t>
                  </w:r>
                </w:p>
              </w:tc>
            </w:tr>
            <w:tr w14:paraId="4064A3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dxa"/>
                  <w:vMerge w:val="continue"/>
                  <w:vAlign w:val="top"/>
                </w:tcPr>
                <w:p w14:paraId="2EE6498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p>
              </w:tc>
              <w:tc>
                <w:tcPr>
                  <w:tcW w:w="2057" w:type="dxa"/>
                  <w:vAlign w:val="center"/>
                </w:tcPr>
                <w:p w14:paraId="215A8364">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 方法创新</w:t>
                  </w:r>
                </w:p>
              </w:tc>
              <w:tc>
                <w:tcPr>
                  <w:tcW w:w="6346" w:type="dxa"/>
                  <w:vAlign w:val="top"/>
                </w:tcPr>
                <w:p w14:paraId="29F5348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1.运用“加减乘除工作法”开展组织生活；</w:t>
                  </w:r>
                </w:p>
                <w:p w14:paraId="34C4A2C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2.打造“线上+线下”融合学习，线上依托“学习强国”“支部微课”，线下开展专题研讨、现场教学；</w:t>
                  </w:r>
                </w:p>
                <w:p w14:paraId="4B3644B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3.建立“党建成果可视化”机制，制作青年党员说视频1个、成果汇编1册，上级媒体报道10余次。</w:t>
                  </w:r>
                </w:p>
              </w:tc>
            </w:tr>
          </w:tbl>
          <w:p w14:paraId="7556F491">
            <w:pPr>
              <w:pStyle w:val="2"/>
              <w:pageBreakBefore w:val="0"/>
              <w:widowControl w:val="0"/>
              <w:kinsoku/>
              <w:wordWrap/>
              <w:overflowPunct/>
              <w:topLinePunct w:val="0"/>
              <w:autoSpaceDE/>
              <w:autoSpaceDN/>
              <w:bidi w:val="0"/>
              <w:adjustRightInd/>
              <w:snapToGrid/>
              <w:spacing w:before="0" w:after="0" w:line="360" w:lineRule="exact"/>
              <w:ind w:left="0" w:leftChars="0" w:firstLine="0" w:firstLineChars="0"/>
              <w:textAlignment w:val="auto"/>
              <w:rPr>
                <w:rFonts w:hint="eastAsia" w:asciiTheme="minorEastAsia" w:hAnsiTheme="minorEastAsia" w:eastAsiaTheme="minorEastAsia" w:cstheme="minorEastAsia"/>
                <w:sz w:val="21"/>
                <w:szCs w:val="21"/>
              </w:rPr>
            </w:pPr>
          </w:p>
          <w:p w14:paraId="3C02F707">
            <w:pPr>
              <w:widowControl/>
              <w:rPr>
                <w:rFonts w:ascii="仿宋_GB2312" w:hAnsi="仿宋_GB2312" w:eastAsia="仿宋_GB2312" w:cs="仿宋_GB2312"/>
                <w:sz w:val="28"/>
                <w:szCs w:val="28"/>
              </w:rPr>
            </w:pPr>
          </w:p>
        </w:tc>
      </w:tr>
      <w:tr w14:paraId="6630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14:paraId="0026D824">
            <w:pPr>
              <w:widowControl/>
              <w:numPr>
                <w:ilvl w:val="0"/>
                <w:numId w:val="0"/>
              </w:numPr>
              <w:rPr>
                <w:rFonts w:hint="eastAsia" w:ascii="楷体" w:hAnsi="楷体" w:eastAsia="楷体" w:cs="楷体"/>
                <w:b/>
                <w:bCs/>
                <w:sz w:val="32"/>
                <w:szCs w:val="32"/>
              </w:rPr>
            </w:pPr>
            <w:r>
              <w:rPr>
                <w:rFonts w:hint="eastAsia" w:ascii="楷体" w:hAnsi="楷体" w:eastAsia="楷体" w:cs="楷体"/>
                <w:b/>
                <w:bCs/>
                <w:sz w:val="32"/>
                <w:szCs w:val="32"/>
                <w:lang w:eastAsia="zh-CN"/>
              </w:rPr>
              <w:t>（</w:t>
            </w:r>
            <w:r>
              <w:rPr>
                <w:rFonts w:hint="eastAsia" w:ascii="楷体" w:hAnsi="楷体" w:eastAsia="楷体" w:cs="楷体"/>
                <w:b/>
                <w:bCs/>
                <w:sz w:val="32"/>
                <w:szCs w:val="32"/>
                <w:lang w:val="en-US" w:eastAsia="zh-CN"/>
              </w:rPr>
              <w:t>三</w:t>
            </w:r>
            <w:r>
              <w:rPr>
                <w:rFonts w:hint="eastAsia" w:ascii="楷体" w:hAnsi="楷体" w:eastAsia="楷体" w:cs="楷体"/>
                <w:b/>
                <w:bCs/>
                <w:sz w:val="32"/>
                <w:szCs w:val="32"/>
                <w:lang w:eastAsia="zh-CN"/>
              </w:rPr>
              <w:t>）</w:t>
            </w:r>
            <w:r>
              <w:rPr>
                <w:rFonts w:hint="eastAsia" w:ascii="楷体" w:hAnsi="楷体" w:eastAsia="楷体" w:cs="楷体"/>
                <w:b/>
                <w:bCs/>
                <w:sz w:val="32"/>
                <w:szCs w:val="32"/>
              </w:rPr>
              <w:t>示范作用发挥情况清单</w:t>
            </w:r>
          </w:p>
          <w:p w14:paraId="4D0FEA12">
            <w:pPr>
              <w:keepNext/>
              <w:keepLines/>
              <w:pageBreakBefore w:val="0"/>
              <w:widowControl w:val="0"/>
              <w:kinsoku/>
              <w:wordWrap/>
              <w:overflowPunct/>
              <w:topLinePunct w:val="0"/>
              <w:autoSpaceDE/>
              <w:autoSpaceDN/>
              <w:bidi w:val="0"/>
              <w:adjustRightInd/>
              <w:snapToGrid/>
              <w:spacing w:line="360" w:lineRule="auto"/>
              <w:ind w:left="0" w:firstLine="560" w:firstLineChars="200"/>
              <w:contextualSpacing/>
              <w:textAlignment w:val="auto"/>
              <w:rPr>
                <w:rFonts w:hint="eastAsia" w:ascii="仿宋_GB2312" w:hAnsi="仿宋_GB2312" w:eastAsia="仿宋_GB2312" w:cs="仿宋_GB2312"/>
                <w:color w:val="auto"/>
                <w:kern w:val="2"/>
                <w:sz w:val="28"/>
                <w:szCs w:val="28"/>
                <w:lang w:val="en-US" w:eastAsia="zh-CN" w:bidi="zh-CN"/>
              </w:rPr>
            </w:pPr>
            <w:r>
              <w:rPr>
                <w:rFonts w:hint="eastAsia" w:ascii="仿宋_GB2312" w:hAnsi="仿宋_GB2312" w:eastAsia="仿宋_GB2312" w:cs="仿宋_GB2312"/>
                <w:color w:val="auto"/>
                <w:kern w:val="2"/>
                <w:sz w:val="28"/>
                <w:szCs w:val="28"/>
                <w:lang w:val="en-US" w:eastAsia="zh-CN" w:bidi="zh-CN"/>
              </w:rPr>
              <w:t>德法概论党支部（基础党支部）自创建以来，始终坚持以“加减乘除”工作法为引领，以“五大运行机制”为保障，以实现“七个有力”为目标，系统推进党建工作与业务工作深度融合。支部着力打造特色党建品牌，持续夯实师生思想政治工作阵地，积极拓展育人载体，在品牌建设、项目立项、成果产出及宣传推广等方面取得显著成效，充分发挥了示范引领作用，有效构筑了“以党建促业务、以业务强党建”的良性互动格局。</w:t>
            </w:r>
          </w:p>
          <w:p w14:paraId="2E7C7E1C">
            <w:pPr>
              <w:keepNext/>
              <w:keepLines/>
              <w:pageBreakBefore w:val="0"/>
              <w:widowControl w:val="0"/>
              <w:kinsoku/>
              <w:wordWrap/>
              <w:overflowPunct/>
              <w:topLinePunct w:val="0"/>
              <w:autoSpaceDE/>
              <w:autoSpaceDN/>
              <w:bidi w:val="0"/>
              <w:adjustRightInd/>
              <w:snapToGrid/>
              <w:spacing w:line="360" w:lineRule="auto"/>
              <w:ind w:left="0" w:firstLine="560" w:firstLineChars="200"/>
              <w:contextualSpacing/>
              <w:textAlignment w:val="auto"/>
              <w:rPr>
                <w:rFonts w:hint="eastAsia" w:ascii="仿宋_GB2312" w:hAnsi="仿宋_GB2312" w:eastAsia="仿宋_GB2312" w:cs="仿宋_GB2312"/>
                <w:b w:val="0"/>
                <w:bCs w:val="0"/>
                <w:color w:val="auto"/>
                <w:kern w:val="2"/>
                <w:sz w:val="28"/>
                <w:szCs w:val="28"/>
                <w:lang w:val="en-US" w:eastAsia="zh-CN" w:bidi="zh-CN"/>
              </w:rPr>
            </w:pPr>
            <w:r>
              <w:rPr>
                <w:rFonts w:hint="eastAsia" w:ascii="仿宋_GB2312" w:hAnsi="仿宋_GB2312" w:eastAsia="仿宋_GB2312" w:cs="仿宋_GB2312"/>
                <w:b w:val="0"/>
                <w:bCs w:val="0"/>
                <w:color w:val="auto"/>
                <w:kern w:val="2"/>
                <w:sz w:val="28"/>
                <w:szCs w:val="28"/>
                <w:lang w:val="en-US" w:eastAsia="zh-CN" w:bidi="zh-CN"/>
              </w:rPr>
              <w:t>累计申报设立省级名师工作室1个，立项省级精品项目1个，建立省级基地1个，校级创新团队1个，拍摄微视频3个，发表党建相关论文5篇，在省级及以上媒体发表党建相关案例文章6篇，与青川县张家村、青坪村、剑阁县双旗村、双西村、旺苍县三合村等5个村级党支部进行。</w:t>
            </w:r>
            <w:r>
              <w:rPr>
                <w:rFonts w:hint="eastAsia" w:ascii="仿宋_GB2312" w:hAnsi="仿宋_GB2312" w:eastAsia="仿宋_GB2312" w:cs="仿宋_GB2312"/>
                <w:b/>
                <w:bCs/>
                <w:color w:val="auto"/>
                <w:kern w:val="2"/>
                <w:sz w:val="28"/>
                <w:szCs w:val="28"/>
                <w:lang w:val="en-US" w:eastAsia="zh-CN" w:bidi="zh-CN"/>
              </w:rPr>
              <w:t>具体见下表：</w:t>
            </w:r>
          </w:p>
          <w:tbl>
            <w:tblPr>
              <w:tblStyle w:val="12"/>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3"/>
              <w:gridCol w:w="1463"/>
              <w:gridCol w:w="4037"/>
              <w:gridCol w:w="3111"/>
            </w:tblGrid>
            <w:tr w14:paraId="374DE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1" w:hRule="atLeast"/>
              </w:trPr>
              <w:tc>
                <w:tcPr>
                  <w:tcW w:w="893" w:type="dxa"/>
                  <w:shd w:val="clear" w:color="auto" w:fill="auto"/>
                  <w:vAlign w:val="top"/>
                </w:tcPr>
                <w:p w14:paraId="77C71E0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8"/>
                      <w:szCs w:val="28"/>
                      <w:lang w:val="en-US" w:eastAsia="zh-CN" w:bidi="zh-CN"/>
                    </w:rPr>
                  </w:pPr>
                  <w:r>
                    <w:rPr>
                      <w:rFonts w:hint="eastAsia" w:ascii="仿宋_GB2312" w:hAnsi="仿宋_GB2312" w:eastAsia="仿宋_GB2312" w:cs="仿宋_GB2312"/>
                      <w:b/>
                      <w:bCs/>
                      <w:kern w:val="2"/>
                      <w:sz w:val="28"/>
                      <w:szCs w:val="28"/>
                      <w:lang w:val="en-US" w:eastAsia="zh-CN" w:bidi="zh-CN"/>
                    </w:rPr>
                    <w:t>序号</w:t>
                  </w:r>
                </w:p>
              </w:tc>
              <w:tc>
                <w:tcPr>
                  <w:tcW w:w="1463" w:type="dxa"/>
                  <w:shd w:val="clear" w:color="auto" w:fill="auto"/>
                  <w:vAlign w:val="top"/>
                </w:tcPr>
                <w:p w14:paraId="492C48C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8"/>
                      <w:szCs w:val="28"/>
                      <w:lang w:val="en-US" w:eastAsia="zh-CN" w:bidi="zh-CN"/>
                    </w:rPr>
                  </w:pPr>
                  <w:r>
                    <w:rPr>
                      <w:rFonts w:hint="eastAsia" w:ascii="仿宋_GB2312" w:hAnsi="仿宋_GB2312" w:eastAsia="仿宋_GB2312" w:cs="仿宋_GB2312"/>
                      <w:b/>
                      <w:bCs/>
                      <w:kern w:val="2"/>
                      <w:sz w:val="28"/>
                      <w:szCs w:val="28"/>
                      <w:lang w:val="en-US" w:eastAsia="zh-CN" w:bidi="zh-CN"/>
                    </w:rPr>
                    <w:t>成果形式</w:t>
                  </w:r>
                </w:p>
              </w:tc>
              <w:tc>
                <w:tcPr>
                  <w:tcW w:w="4037" w:type="dxa"/>
                  <w:shd w:val="clear" w:color="auto" w:fill="auto"/>
                  <w:vAlign w:val="top"/>
                </w:tcPr>
                <w:p w14:paraId="68451BE8">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8"/>
                      <w:szCs w:val="28"/>
                      <w:lang w:val="en-US" w:eastAsia="zh-CN" w:bidi="zh-CN"/>
                    </w:rPr>
                  </w:pPr>
                  <w:r>
                    <w:rPr>
                      <w:rFonts w:hint="eastAsia" w:ascii="仿宋_GB2312" w:hAnsi="仿宋_GB2312" w:eastAsia="仿宋_GB2312" w:cs="仿宋_GB2312"/>
                      <w:b/>
                      <w:bCs/>
                      <w:kern w:val="2"/>
                      <w:sz w:val="28"/>
                      <w:szCs w:val="28"/>
                      <w:lang w:val="en-US" w:eastAsia="zh-CN" w:bidi="zh-CN"/>
                    </w:rPr>
                    <w:t>成果名称</w:t>
                  </w:r>
                </w:p>
              </w:tc>
              <w:tc>
                <w:tcPr>
                  <w:tcW w:w="3111" w:type="dxa"/>
                  <w:shd w:val="clear" w:color="auto" w:fill="auto"/>
                  <w:vAlign w:val="top"/>
                </w:tcPr>
                <w:p w14:paraId="465A6E8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8"/>
                      <w:szCs w:val="28"/>
                      <w:lang w:val="en-US" w:eastAsia="zh-CN" w:bidi="zh-CN"/>
                    </w:rPr>
                  </w:pPr>
                  <w:r>
                    <w:rPr>
                      <w:rFonts w:hint="eastAsia" w:ascii="仿宋_GB2312" w:hAnsi="仿宋_GB2312" w:eastAsia="仿宋_GB2312" w:cs="仿宋_GB2312"/>
                      <w:b/>
                      <w:bCs/>
                      <w:kern w:val="2"/>
                      <w:sz w:val="28"/>
                      <w:szCs w:val="28"/>
                      <w:lang w:val="en-US" w:eastAsia="zh-CN" w:bidi="zh-CN"/>
                    </w:rPr>
                    <w:t>备注</w:t>
                  </w:r>
                </w:p>
              </w:tc>
            </w:tr>
            <w:tr w14:paraId="4CCB7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2D19C53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w:t>
                  </w:r>
                </w:p>
              </w:tc>
              <w:tc>
                <w:tcPr>
                  <w:tcW w:w="1463" w:type="dxa"/>
                  <w:shd w:val="clear" w:color="auto" w:fill="auto"/>
                  <w:vAlign w:val="center"/>
                </w:tcPr>
                <w:p w14:paraId="00B7DC33">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名师</w:t>
                  </w:r>
                </w:p>
                <w:p w14:paraId="4EF18EA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工作室</w:t>
                  </w:r>
                </w:p>
              </w:tc>
              <w:tc>
                <w:tcPr>
                  <w:tcW w:w="4037" w:type="dxa"/>
                  <w:shd w:val="clear" w:color="auto" w:fill="auto"/>
                  <w:vAlign w:val="center"/>
                </w:tcPr>
                <w:p w14:paraId="52128B6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陈刚名师工作室</w:t>
                  </w:r>
                </w:p>
              </w:tc>
              <w:tc>
                <w:tcPr>
                  <w:tcW w:w="3111" w:type="dxa"/>
                  <w:shd w:val="clear" w:color="auto" w:fill="auto"/>
                  <w:vAlign w:val="top"/>
                </w:tcPr>
                <w:p w14:paraId="5F8021E7">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 xml:space="preserve">中共四川省委教育工委 </w:t>
                  </w:r>
                </w:p>
                <w:p w14:paraId="0751A49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四川省教育厅 2024年12月</w:t>
                  </w:r>
                </w:p>
              </w:tc>
            </w:tr>
            <w:tr w14:paraId="543D81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2024C04C">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w:t>
                  </w:r>
                </w:p>
              </w:tc>
              <w:tc>
                <w:tcPr>
                  <w:tcW w:w="1463" w:type="dxa"/>
                  <w:shd w:val="clear" w:color="auto" w:fill="auto"/>
                  <w:vAlign w:val="center"/>
                </w:tcPr>
                <w:p w14:paraId="015DABAC">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精品项目</w:t>
                  </w:r>
                </w:p>
              </w:tc>
              <w:tc>
                <w:tcPr>
                  <w:tcW w:w="4037" w:type="dxa"/>
                  <w:shd w:val="clear" w:color="auto" w:fill="auto"/>
                  <w:vAlign w:val="center"/>
                </w:tcPr>
                <w:p w14:paraId="154A5BD4">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“一化驱动、两课定向、四方协同”的大思政课育人模式</w:t>
                  </w:r>
                </w:p>
              </w:tc>
              <w:tc>
                <w:tcPr>
                  <w:tcW w:w="3111" w:type="dxa"/>
                  <w:shd w:val="clear" w:color="auto" w:fill="auto"/>
                  <w:vAlign w:val="center"/>
                </w:tcPr>
                <w:p w14:paraId="0259BF0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四川省教育厅2024年12月</w:t>
                  </w:r>
                </w:p>
              </w:tc>
            </w:tr>
            <w:tr w14:paraId="3FD7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464ABEC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w:t>
                  </w:r>
                </w:p>
              </w:tc>
              <w:tc>
                <w:tcPr>
                  <w:tcW w:w="1463" w:type="dxa"/>
                  <w:shd w:val="clear" w:color="auto" w:fill="auto"/>
                  <w:vAlign w:val="center"/>
                </w:tcPr>
                <w:p w14:paraId="18147484">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实践基地</w:t>
                  </w:r>
                </w:p>
              </w:tc>
              <w:tc>
                <w:tcPr>
                  <w:tcW w:w="4037" w:type="dxa"/>
                  <w:shd w:val="clear" w:color="auto" w:fill="auto"/>
                  <w:vAlign w:val="center"/>
                </w:tcPr>
                <w:p w14:paraId="39847BA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四川省大中小学思想政治教育一体化基地</w:t>
                  </w:r>
                </w:p>
              </w:tc>
              <w:tc>
                <w:tcPr>
                  <w:tcW w:w="3111" w:type="dxa"/>
                  <w:shd w:val="clear" w:color="auto" w:fill="auto"/>
                  <w:vAlign w:val="top"/>
                </w:tcPr>
                <w:p w14:paraId="02A0AB1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 xml:space="preserve">中共四川省委教育工委   </w:t>
                  </w:r>
                </w:p>
                <w:p w14:paraId="3120659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四川省教育厅2024年12月</w:t>
                  </w:r>
                </w:p>
              </w:tc>
            </w:tr>
            <w:tr w14:paraId="7C0CB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16670BA6">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4</w:t>
                  </w:r>
                </w:p>
              </w:tc>
              <w:tc>
                <w:tcPr>
                  <w:tcW w:w="1463" w:type="dxa"/>
                  <w:shd w:val="clear" w:color="auto" w:fill="auto"/>
                  <w:vAlign w:val="center"/>
                </w:tcPr>
                <w:p w14:paraId="4F289ED8">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创新团队</w:t>
                  </w:r>
                </w:p>
              </w:tc>
              <w:tc>
                <w:tcPr>
                  <w:tcW w:w="4037" w:type="dxa"/>
                  <w:shd w:val="clear" w:color="auto" w:fill="auto"/>
                  <w:vAlign w:val="center"/>
                </w:tcPr>
                <w:p w14:paraId="3FC9E2A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“五维领航、知行合一”大学生思想政治教育创新团队</w:t>
                  </w:r>
                </w:p>
              </w:tc>
              <w:tc>
                <w:tcPr>
                  <w:tcW w:w="3111" w:type="dxa"/>
                  <w:shd w:val="clear" w:color="auto" w:fill="auto"/>
                  <w:vAlign w:val="top"/>
                </w:tcPr>
                <w:p w14:paraId="77DC7C30">
                  <w:pPr>
                    <w:pStyle w:val="17"/>
                    <w:keepNext w:val="0"/>
                    <w:keepLines w:val="0"/>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四川信息职业技术学院</w:t>
                  </w:r>
                </w:p>
                <w:p w14:paraId="77C019FA">
                  <w:pPr>
                    <w:pStyle w:val="17"/>
                    <w:keepNext w:val="0"/>
                    <w:keepLines w:val="0"/>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2025年7月</w:t>
                  </w:r>
                </w:p>
              </w:tc>
            </w:tr>
            <w:tr w14:paraId="27DE5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893" w:type="dxa"/>
                  <w:shd w:val="clear" w:color="auto" w:fill="auto"/>
                  <w:vAlign w:val="center"/>
                </w:tcPr>
                <w:p w14:paraId="5BF7E63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5</w:t>
                  </w:r>
                </w:p>
              </w:tc>
              <w:tc>
                <w:tcPr>
                  <w:tcW w:w="1463" w:type="dxa"/>
                  <w:shd w:val="clear" w:color="auto" w:fill="auto"/>
                  <w:vAlign w:val="center"/>
                </w:tcPr>
                <w:p w14:paraId="4D73971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微视频</w:t>
                  </w:r>
                </w:p>
              </w:tc>
              <w:tc>
                <w:tcPr>
                  <w:tcW w:w="4037" w:type="dxa"/>
                  <w:shd w:val="clear" w:color="auto" w:fill="auto"/>
                  <w:vAlign w:val="center"/>
                </w:tcPr>
                <w:p w14:paraId="03B7FA20">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青年党员说</w:t>
                  </w:r>
                </w:p>
              </w:tc>
              <w:tc>
                <w:tcPr>
                  <w:tcW w:w="3111" w:type="dxa"/>
                  <w:shd w:val="clear" w:color="auto" w:fill="auto"/>
                  <w:vAlign w:val="top"/>
                </w:tcPr>
                <w:p w14:paraId="154DE6E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2025年1月，“青年党员说”研学活动</w:t>
                  </w:r>
                </w:p>
              </w:tc>
            </w:tr>
            <w:tr w14:paraId="71530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0916D0F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6</w:t>
                  </w:r>
                </w:p>
              </w:tc>
              <w:tc>
                <w:tcPr>
                  <w:tcW w:w="1463" w:type="dxa"/>
                  <w:shd w:val="clear" w:color="auto" w:fill="auto"/>
                  <w:vAlign w:val="center"/>
                </w:tcPr>
                <w:p w14:paraId="0949EE02">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论文</w:t>
                  </w:r>
                </w:p>
              </w:tc>
              <w:tc>
                <w:tcPr>
                  <w:tcW w:w="4037" w:type="dxa"/>
                  <w:shd w:val="clear" w:color="auto" w:fill="auto"/>
                  <w:vAlign w:val="top"/>
                </w:tcPr>
                <w:p w14:paraId="35DC1DE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《高校“加减乘除”支部工作法的创建助推党建创新路径研究》</w:t>
                  </w:r>
                </w:p>
              </w:tc>
              <w:tc>
                <w:tcPr>
                  <w:tcW w:w="3111" w:type="dxa"/>
                  <w:shd w:val="clear" w:color="auto" w:fill="auto"/>
                  <w:vAlign w:val="top"/>
                </w:tcPr>
                <w:p w14:paraId="5EFBC758">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2023年6月发表于省级期刊</w:t>
                  </w:r>
                </w:p>
                <w:p w14:paraId="7024E3F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《优格》</w:t>
                  </w:r>
                </w:p>
              </w:tc>
            </w:tr>
            <w:tr w14:paraId="40E434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7F3C8A6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7</w:t>
                  </w:r>
                </w:p>
              </w:tc>
              <w:tc>
                <w:tcPr>
                  <w:tcW w:w="1463" w:type="dxa"/>
                  <w:shd w:val="clear" w:color="auto" w:fill="auto"/>
                  <w:vAlign w:val="center"/>
                </w:tcPr>
                <w:p w14:paraId="7EA88C5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论文</w:t>
                  </w:r>
                </w:p>
              </w:tc>
              <w:tc>
                <w:tcPr>
                  <w:tcW w:w="4037" w:type="dxa"/>
                  <w:shd w:val="clear" w:color="auto" w:fill="auto"/>
                  <w:vAlign w:val="top"/>
                </w:tcPr>
                <w:p w14:paraId="6387EB6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《高校党支部与农村村级党组织协同共建的“党建+”路径研究》</w:t>
                  </w:r>
                </w:p>
              </w:tc>
              <w:tc>
                <w:tcPr>
                  <w:tcW w:w="3111" w:type="dxa"/>
                  <w:shd w:val="clear" w:color="auto" w:fill="auto"/>
                  <w:vAlign w:val="top"/>
                </w:tcPr>
                <w:p w14:paraId="4D35F5C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2022年11月发表于省级期刊《魅力中国》</w:t>
                  </w:r>
                </w:p>
              </w:tc>
            </w:tr>
            <w:tr w14:paraId="770C1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23D5E1A0">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8</w:t>
                  </w:r>
                </w:p>
              </w:tc>
              <w:tc>
                <w:tcPr>
                  <w:tcW w:w="1463" w:type="dxa"/>
                  <w:shd w:val="clear" w:color="auto" w:fill="auto"/>
                  <w:vAlign w:val="center"/>
                </w:tcPr>
                <w:p w14:paraId="7CFACE8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论文</w:t>
                  </w:r>
                </w:p>
              </w:tc>
              <w:tc>
                <w:tcPr>
                  <w:tcW w:w="4037" w:type="dxa"/>
                  <w:shd w:val="clear" w:color="auto" w:fill="auto"/>
                  <w:vAlign w:val="top"/>
                </w:tcPr>
                <w:p w14:paraId="3F83A9E4">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《乡村振兴视域下农村基层党组织推进乡风文明建设的实践路径》</w:t>
                  </w:r>
                </w:p>
              </w:tc>
              <w:tc>
                <w:tcPr>
                  <w:tcW w:w="3111" w:type="dxa"/>
                  <w:shd w:val="clear" w:color="auto" w:fill="auto"/>
                  <w:vAlign w:val="top"/>
                </w:tcPr>
                <w:p w14:paraId="24B7FEF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2024年11月发表于省级期刊《长江丛刊》</w:t>
                  </w:r>
                </w:p>
              </w:tc>
            </w:tr>
            <w:tr w14:paraId="35FAB9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37E6BFE7">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9</w:t>
                  </w:r>
                </w:p>
              </w:tc>
              <w:tc>
                <w:tcPr>
                  <w:tcW w:w="1463" w:type="dxa"/>
                  <w:shd w:val="clear" w:color="auto" w:fill="auto"/>
                  <w:vAlign w:val="center"/>
                </w:tcPr>
                <w:p w14:paraId="0620A78E">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论文</w:t>
                  </w:r>
                </w:p>
              </w:tc>
              <w:tc>
                <w:tcPr>
                  <w:tcW w:w="4037" w:type="dxa"/>
                  <w:shd w:val="clear" w:color="auto" w:fill="auto"/>
                  <w:vAlign w:val="top"/>
                </w:tcPr>
                <w:p w14:paraId="798DB6C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《党建引领下高校与基层党校合作共建的实践与路径探究》</w:t>
                  </w:r>
                </w:p>
              </w:tc>
              <w:tc>
                <w:tcPr>
                  <w:tcW w:w="3111" w:type="dxa"/>
                  <w:shd w:val="clear" w:color="auto" w:fill="auto"/>
                  <w:vAlign w:val="top"/>
                </w:tcPr>
                <w:p w14:paraId="22E79E7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2025年3月发表于省级期刊</w:t>
                  </w:r>
                </w:p>
                <w:p w14:paraId="60C647F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《华章》</w:t>
                  </w:r>
                </w:p>
              </w:tc>
            </w:tr>
            <w:tr w14:paraId="7804E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776327CC">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11</w:t>
                  </w:r>
                </w:p>
              </w:tc>
              <w:tc>
                <w:tcPr>
                  <w:tcW w:w="1463" w:type="dxa"/>
                  <w:shd w:val="clear" w:color="auto" w:fill="auto"/>
                  <w:vAlign w:val="center"/>
                </w:tcPr>
                <w:p w14:paraId="53C91134">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论文</w:t>
                  </w:r>
                </w:p>
              </w:tc>
              <w:tc>
                <w:tcPr>
                  <w:tcW w:w="4037" w:type="dxa"/>
                  <w:shd w:val="clear" w:color="auto" w:fill="auto"/>
                  <w:vAlign w:val="top"/>
                </w:tcPr>
                <w:p w14:paraId="0EEBE23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《“大思政课”视域下高职院校思政课教学创新团队“五维共融”建设路径》</w:t>
                  </w:r>
                </w:p>
              </w:tc>
              <w:tc>
                <w:tcPr>
                  <w:tcW w:w="3111" w:type="dxa"/>
                  <w:shd w:val="clear" w:color="auto" w:fill="auto"/>
                  <w:vAlign w:val="top"/>
                </w:tcPr>
                <w:p w14:paraId="6BDC78D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2025年6月发表于省级期刊</w:t>
                  </w:r>
                </w:p>
                <w:p w14:paraId="484FF42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《长江丛刊》</w:t>
                  </w:r>
                </w:p>
              </w:tc>
            </w:tr>
            <w:tr w14:paraId="243F1F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0C623B43">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12</w:t>
                  </w:r>
                </w:p>
              </w:tc>
              <w:tc>
                <w:tcPr>
                  <w:tcW w:w="1463" w:type="dxa"/>
                  <w:shd w:val="clear" w:color="auto" w:fill="auto"/>
                  <w:vAlign w:val="center"/>
                </w:tcPr>
                <w:p w14:paraId="762D50D7">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系列论文</w:t>
                  </w:r>
                </w:p>
              </w:tc>
              <w:tc>
                <w:tcPr>
                  <w:tcW w:w="4037" w:type="dxa"/>
                  <w:shd w:val="clear" w:color="auto" w:fill="auto"/>
                  <w:vAlign w:val="top"/>
                </w:tcPr>
                <w:p w14:paraId="15E85DE7">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《推动广元市乡村振兴的实践进路——从品牌打造到乡贤治理的多元探索》</w:t>
                  </w:r>
                </w:p>
              </w:tc>
              <w:tc>
                <w:tcPr>
                  <w:tcW w:w="3111" w:type="dxa"/>
                  <w:shd w:val="clear" w:color="auto" w:fill="auto"/>
                  <w:vAlign w:val="top"/>
                </w:tcPr>
                <w:p w14:paraId="57C4414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2025年7月获广元市首届哲学社会科学奖二等奖</w:t>
                  </w:r>
                </w:p>
              </w:tc>
            </w:tr>
            <w:tr w14:paraId="591F1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1F323376">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13</w:t>
                  </w:r>
                </w:p>
              </w:tc>
              <w:tc>
                <w:tcPr>
                  <w:tcW w:w="1463" w:type="dxa"/>
                  <w:shd w:val="clear" w:color="auto" w:fill="auto"/>
                  <w:vAlign w:val="center"/>
                </w:tcPr>
                <w:p w14:paraId="345C0CD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系列论文</w:t>
                  </w:r>
                </w:p>
              </w:tc>
              <w:tc>
                <w:tcPr>
                  <w:tcW w:w="4037" w:type="dxa"/>
                  <w:shd w:val="clear" w:color="auto" w:fill="auto"/>
                  <w:vAlign w:val="top"/>
                </w:tcPr>
                <w:p w14:paraId="6801A52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《铸牢中华民族共同体意识》</w:t>
                  </w:r>
                </w:p>
              </w:tc>
              <w:tc>
                <w:tcPr>
                  <w:tcW w:w="3111" w:type="dxa"/>
                  <w:shd w:val="clear" w:color="auto" w:fill="auto"/>
                  <w:vAlign w:val="top"/>
                </w:tcPr>
                <w:p w14:paraId="4ADF8D2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2025年7月获广元市首届哲学社会科学奖二等奖</w:t>
                  </w:r>
                </w:p>
              </w:tc>
            </w:tr>
            <w:tr w14:paraId="5F9F7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6414AA86">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14</w:t>
                  </w:r>
                </w:p>
              </w:tc>
              <w:tc>
                <w:tcPr>
                  <w:tcW w:w="1463" w:type="dxa"/>
                  <w:shd w:val="clear" w:color="auto" w:fill="auto"/>
                  <w:vAlign w:val="center"/>
                </w:tcPr>
                <w:p w14:paraId="0F063D80">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w:t>
                  </w:r>
                </w:p>
              </w:tc>
              <w:tc>
                <w:tcPr>
                  <w:tcW w:w="4037" w:type="dxa"/>
                  <w:shd w:val="clear" w:color="auto" w:fill="auto"/>
                  <w:vAlign w:val="top"/>
                </w:tcPr>
                <w:p w14:paraId="48652E0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《善用‘加减乘除’工作法，推动党的二十大精神走深走实”》</w:t>
                  </w:r>
                </w:p>
              </w:tc>
              <w:tc>
                <w:tcPr>
                  <w:tcW w:w="3111" w:type="dxa"/>
                  <w:shd w:val="clear" w:color="auto" w:fill="auto"/>
                  <w:vAlign w:val="top"/>
                </w:tcPr>
                <w:p w14:paraId="4DD2981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2022年12月被四川职教网采用</w:t>
                  </w:r>
                </w:p>
              </w:tc>
            </w:tr>
            <w:tr w14:paraId="6C271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5232B6EA">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15</w:t>
                  </w:r>
                </w:p>
              </w:tc>
              <w:tc>
                <w:tcPr>
                  <w:tcW w:w="1463" w:type="dxa"/>
                  <w:shd w:val="clear" w:color="auto" w:fill="auto"/>
                  <w:vAlign w:val="center"/>
                </w:tcPr>
                <w:p w14:paraId="51FA444C">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活页教材</w:t>
                  </w:r>
                </w:p>
              </w:tc>
              <w:tc>
                <w:tcPr>
                  <w:tcW w:w="4037" w:type="dxa"/>
                  <w:shd w:val="clear" w:color="auto" w:fill="auto"/>
                  <w:vAlign w:val="top"/>
                </w:tcPr>
                <w:p w14:paraId="069E281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《大学生思想政治理论课实践教学》</w:t>
                  </w:r>
                </w:p>
              </w:tc>
              <w:tc>
                <w:tcPr>
                  <w:tcW w:w="3111" w:type="dxa"/>
                  <w:shd w:val="clear" w:color="auto" w:fill="auto"/>
                  <w:vAlign w:val="top"/>
                </w:tcPr>
                <w:p w14:paraId="19C29A87">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2024年7月，湖南大学出版社出版</w:t>
                  </w:r>
                </w:p>
              </w:tc>
            </w:tr>
            <w:tr w14:paraId="7D5D0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635D2EC2">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16</w:t>
                  </w:r>
                </w:p>
              </w:tc>
              <w:tc>
                <w:tcPr>
                  <w:tcW w:w="1463" w:type="dxa"/>
                  <w:shd w:val="clear" w:color="auto" w:fill="auto"/>
                  <w:vAlign w:val="center"/>
                </w:tcPr>
                <w:p w14:paraId="7BCA090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w:t>
                  </w:r>
                </w:p>
              </w:tc>
              <w:tc>
                <w:tcPr>
                  <w:tcW w:w="4037" w:type="dxa"/>
                  <w:shd w:val="clear" w:color="auto" w:fill="auto"/>
                  <w:vAlign w:val="top"/>
                </w:tcPr>
                <w:p w14:paraId="7E3EB9FA">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激活红色文化基因，构建数字化思政教育新生态</w:t>
                  </w:r>
                </w:p>
              </w:tc>
              <w:tc>
                <w:tcPr>
                  <w:tcW w:w="3111" w:type="dxa"/>
                  <w:shd w:val="clear" w:color="auto" w:fill="auto"/>
                  <w:vAlign w:val="top"/>
                </w:tcPr>
                <w:p w14:paraId="66B678C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2025年7月发表在全国</w:t>
                  </w:r>
                </w:p>
                <w:p w14:paraId="6DA1022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高校思想政治工作网</w:t>
                  </w:r>
                </w:p>
              </w:tc>
            </w:tr>
            <w:tr w14:paraId="2D457B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334DA537">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17</w:t>
                  </w:r>
                </w:p>
              </w:tc>
              <w:tc>
                <w:tcPr>
                  <w:tcW w:w="1463" w:type="dxa"/>
                  <w:shd w:val="clear" w:color="auto" w:fill="auto"/>
                  <w:vAlign w:val="center"/>
                </w:tcPr>
                <w:p w14:paraId="11285EFB">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w:t>
                  </w:r>
                </w:p>
              </w:tc>
              <w:tc>
                <w:tcPr>
                  <w:tcW w:w="4037" w:type="dxa"/>
                  <w:shd w:val="clear" w:color="auto" w:fill="auto"/>
                  <w:vAlign w:val="top"/>
                </w:tcPr>
                <w:p w14:paraId="1621A81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五维“廉”动，构建廉洁育人大格局</w:t>
                  </w:r>
                </w:p>
              </w:tc>
              <w:tc>
                <w:tcPr>
                  <w:tcW w:w="3111" w:type="dxa"/>
                  <w:shd w:val="clear" w:color="auto" w:fill="auto"/>
                  <w:vAlign w:val="top"/>
                </w:tcPr>
                <w:p w14:paraId="06E75C0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2025年6月发表在全国</w:t>
                  </w:r>
                </w:p>
                <w:p w14:paraId="388BF49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高校思想政治工作网</w:t>
                  </w:r>
                </w:p>
              </w:tc>
            </w:tr>
            <w:tr w14:paraId="458A6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6115509B">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18</w:t>
                  </w:r>
                </w:p>
              </w:tc>
              <w:tc>
                <w:tcPr>
                  <w:tcW w:w="1463" w:type="dxa"/>
                  <w:shd w:val="clear" w:color="auto" w:fill="auto"/>
                  <w:vAlign w:val="center"/>
                </w:tcPr>
                <w:p w14:paraId="5CC8BCD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w:t>
                  </w:r>
                </w:p>
              </w:tc>
              <w:tc>
                <w:tcPr>
                  <w:tcW w:w="4037" w:type="dxa"/>
                  <w:shd w:val="clear" w:color="auto" w:fill="auto"/>
                  <w:vAlign w:val="top"/>
                </w:tcPr>
                <w:p w14:paraId="745AAA9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铸魂育人担使命 奋楫笃行启新程——四川信息职业技术学院马克思主义学院的发展历程与使命担当</w:t>
                  </w:r>
                </w:p>
              </w:tc>
              <w:tc>
                <w:tcPr>
                  <w:tcW w:w="3111" w:type="dxa"/>
                  <w:shd w:val="clear" w:color="auto" w:fill="auto"/>
                  <w:vAlign w:val="top"/>
                </w:tcPr>
                <w:p w14:paraId="576BBA5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2025年10月发表在广元日报</w:t>
                  </w:r>
                </w:p>
              </w:tc>
            </w:tr>
            <w:tr w14:paraId="76E70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3503929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19</w:t>
                  </w:r>
                </w:p>
              </w:tc>
              <w:tc>
                <w:tcPr>
                  <w:tcW w:w="1463" w:type="dxa"/>
                  <w:shd w:val="clear" w:color="auto" w:fill="auto"/>
                  <w:vAlign w:val="center"/>
                </w:tcPr>
                <w:p w14:paraId="230CC521">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w:t>
                  </w:r>
                </w:p>
              </w:tc>
              <w:tc>
                <w:tcPr>
                  <w:tcW w:w="4037" w:type="dxa"/>
                  <w:shd w:val="clear" w:color="auto" w:fill="auto"/>
                  <w:vAlign w:val="top"/>
                </w:tcPr>
                <w:p w14:paraId="716FCA8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文化赋能“大思政课” 四川信息职业技术学院以“三链递进”打造“蜀道思政”育人品牌</w:t>
                  </w:r>
                </w:p>
              </w:tc>
              <w:tc>
                <w:tcPr>
                  <w:tcW w:w="3111" w:type="dxa"/>
                  <w:shd w:val="clear" w:color="auto" w:fill="auto"/>
                  <w:vAlign w:val="top"/>
                </w:tcPr>
                <w:p w14:paraId="598E754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2025年9月发表在新华网、半月谈</w:t>
                  </w:r>
                </w:p>
              </w:tc>
            </w:tr>
            <w:tr w14:paraId="2FC0F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 w:type="dxa"/>
                  <w:shd w:val="clear" w:color="auto" w:fill="auto"/>
                  <w:vAlign w:val="center"/>
                </w:tcPr>
                <w:p w14:paraId="7959A6E6">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w:t>
                  </w:r>
                </w:p>
              </w:tc>
              <w:tc>
                <w:tcPr>
                  <w:tcW w:w="1463" w:type="dxa"/>
                  <w:shd w:val="clear" w:color="auto" w:fill="auto"/>
                  <w:vAlign w:val="center"/>
                </w:tcPr>
                <w:p w14:paraId="582567D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共建基地</w:t>
                  </w:r>
                </w:p>
              </w:tc>
              <w:tc>
                <w:tcPr>
                  <w:tcW w:w="4037" w:type="dxa"/>
                  <w:shd w:val="clear" w:color="auto" w:fill="auto"/>
                  <w:vAlign w:val="top"/>
                </w:tcPr>
                <w:p w14:paraId="28D2FAE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与青川县张家村、剑阁县双旗村、双西村、旺苍县三合村共建党支部</w:t>
                  </w:r>
                </w:p>
              </w:tc>
              <w:tc>
                <w:tcPr>
                  <w:tcW w:w="3111" w:type="dxa"/>
                  <w:shd w:val="clear" w:color="auto" w:fill="auto"/>
                  <w:vAlign w:val="top"/>
                </w:tcPr>
                <w:p w14:paraId="3CB8DBB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支部共建</w:t>
                  </w:r>
                </w:p>
              </w:tc>
            </w:tr>
          </w:tbl>
          <w:p w14:paraId="058858AE">
            <w:pPr>
              <w:widowControl/>
              <w:rPr>
                <w:rFonts w:ascii="仿宋_GB2312" w:hAnsi="仿宋_GB2312" w:eastAsia="仿宋_GB2312" w:cs="仿宋_GB2312"/>
                <w:sz w:val="28"/>
                <w:szCs w:val="28"/>
              </w:rPr>
            </w:pPr>
          </w:p>
        </w:tc>
      </w:tr>
      <w:tr w14:paraId="431D6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9720" w:type="dxa"/>
          </w:tcPr>
          <w:p w14:paraId="65813575">
            <w:pPr>
              <w:widowControl/>
              <w:rPr>
                <w:rFonts w:ascii="楷体" w:hAnsi="楷体" w:eastAsia="楷体" w:cs="楷体"/>
                <w:b/>
                <w:bCs/>
                <w:sz w:val="32"/>
                <w:szCs w:val="32"/>
              </w:rPr>
            </w:pPr>
            <w:r>
              <w:rPr>
                <w:rFonts w:hint="eastAsia" w:ascii="楷体" w:hAnsi="楷体" w:eastAsia="楷体" w:cs="楷体"/>
                <w:b/>
                <w:bCs/>
                <w:sz w:val="32"/>
                <w:szCs w:val="32"/>
              </w:rPr>
              <w:t xml:space="preserve">（四）信息平台参与情况清单 </w:t>
            </w:r>
          </w:p>
          <w:p w14:paraId="46E85D17">
            <w:pPr>
              <w:keepNext w:val="0"/>
              <w:keepLines w:val="0"/>
              <w:pageBreakBefore w:val="0"/>
              <w:widowControl/>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自样板党支部</w:t>
            </w:r>
            <w:r>
              <w:rPr>
                <w:rFonts w:hint="eastAsia" w:ascii="仿宋_GB2312" w:hAnsi="仿宋_GB2312" w:eastAsia="仿宋_GB2312" w:cs="仿宋_GB2312"/>
                <w:sz w:val="28"/>
                <w:szCs w:val="28"/>
                <w:lang w:val="en-US" w:eastAsia="zh-CN"/>
              </w:rPr>
              <w:t>创建</w:t>
            </w:r>
            <w:r>
              <w:rPr>
                <w:rFonts w:hint="eastAsia" w:ascii="仿宋_GB2312" w:hAnsi="仿宋_GB2312" w:eastAsia="仿宋_GB2312" w:cs="仿宋_GB2312"/>
                <w:sz w:val="28"/>
                <w:szCs w:val="28"/>
              </w:rPr>
              <w:t>以来，始终以“树标杆、强辐射、促提升”为目标，聚焦信息报送的精准性与项目推广的实效性，主动对接各级平台、搭建多元辐射载体，全面展现党建工作成效，</w:t>
            </w:r>
            <w:r>
              <w:rPr>
                <w:rFonts w:hint="eastAsia" w:ascii="仿宋_GB2312" w:hAnsi="仿宋_GB2312" w:eastAsia="仿宋_GB2312" w:cs="仿宋_GB2312"/>
                <w:b/>
                <w:bCs/>
                <w:sz w:val="28"/>
                <w:szCs w:val="28"/>
              </w:rPr>
              <w:t>现将相关情况总结如下：</w:t>
            </w:r>
          </w:p>
          <w:p w14:paraId="205F5258">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562" w:firstLineChars="200"/>
              <w:textAlignment w:val="auto"/>
              <w:rPr>
                <w:rFonts w:hint="eastAsia" w:ascii="仿宋_GB2312" w:hAnsi="仿宋_GB2312" w:eastAsia="仿宋_GB2312" w:cs="仿宋_GB2312"/>
                <w:b/>
                <w:bCs/>
                <w:sz w:val="28"/>
                <w:szCs w:val="28"/>
                <w:lang w:val="en-US" w:eastAsia="zh-CN"/>
              </w:rPr>
            </w:pP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rPr>
              <w:t>多平台精准报送，传播覆盖面</w:t>
            </w:r>
            <w:r>
              <w:rPr>
                <w:rFonts w:hint="eastAsia" w:ascii="仿宋_GB2312" w:hAnsi="仿宋_GB2312" w:eastAsia="仿宋_GB2312" w:cs="仿宋_GB2312"/>
                <w:b/>
                <w:bCs/>
                <w:sz w:val="28"/>
                <w:szCs w:val="28"/>
                <w:lang w:val="en-US" w:eastAsia="zh-CN"/>
              </w:rPr>
              <w:t>扩大</w:t>
            </w:r>
          </w:p>
          <w:p w14:paraId="7CA3B49D">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支部围绕党建品牌建设、思政育人实践等核心内容，建立“分层分类、定期推送、重点突破”的信息报送机制，向各级平台精准传递样板党支部建设</w:t>
            </w:r>
            <w:r>
              <w:rPr>
                <w:rFonts w:hint="eastAsia" w:ascii="仿宋_GB2312" w:hAnsi="仿宋_GB2312" w:eastAsia="仿宋_GB2312" w:cs="仿宋_GB2312"/>
                <w:sz w:val="28"/>
                <w:szCs w:val="28"/>
                <w:lang w:val="en-US" w:eastAsia="zh-CN"/>
              </w:rPr>
              <w:t>成果和</w:t>
            </w:r>
            <w:r>
              <w:rPr>
                <w:rFonts w:hint="eastAsia" w:ascii="仿宋_GB2312" w:hAnsi="仿宋_GB2312" w:eastAsia="仿宋_GB2312" w:cs="仿宋_GB2312"/>
                <w:sz w:val="28"/>
                <w:szCs w:val="28"/>
              </w:rPr>
              <w:t>经验。</w:t>
            </w:r>
          </w:p>
          <w:p w14:paraId="2165F011">
            <w:pPr>
              <w:keepNext w:val="0"/>
              <w:keepLines w:val="0"/>
              <w:pageBreakBefore w:val="0"/>
              <w:widowControl/>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聚焦师生先进事迹与红色育人活动，</w:t>
            </w:r>
            <w:r>
              <w:rPr>
                <w:rFonts w:hint="eastAsia" w:ascii="仿宋_GB2312" w:hAnsi="仿宋_GB2312" w:eastAsia="仿宋_GB2312" w:cs="仿宋_GB2312"/>
                <w:sz w:val="28"/>
                <w:szCs w:val="28"/>
                <w:lang w:val="en-US" w:eastAsia="zh-CN"/>
              </w:rPr>
              <w:t>在新华网、全国高校思想政治工作网</w:t>
            </w:r>
            <w:r>
              <w:rPr>
                <w:rFonts w:hint="eastAsia" w:ascii="仿宋_GB2312" w:hAnsi="仿宋_GB2312" w:eastAsia="仿宋_GB2312" w:cs="仿宋_GB2312"/>
                <w:sz w:val="28"/>
                <w:szCs w:val="28"/>
              </w:rPr>
              <w:t>累计报送图文、</w:t>
            </w:r>
            <w:r>
              <w:rPr>
                <w:rFonts w:hint="eastAsia" w:ascii="仿宋_GB2312" w:hAnsi="仿宋_GB2312" w:eastAsia="仿宋_GB2312" w:cs="仿宋_GB2312"/>
                <w:sz w:val="28"/>
                <w:szCs w:val="28"/>
                <w:lang w:val="en-US" w:eastAsia="zh-CN"/>
              </w:rPr>
              <w:t>案例</w:t>
            </w:r>
            <w:r>
              <w:rPr>
                <w:rFonts w:hint="eastAsia" w:ascii="仿宋_GB2312" w:hAnsi="仿宋_GB2312" w:eastAsia="仿宋_GB2312" w:cs="仿宋_GB2312"/>
                <w:sz w:val="28"/>
                <w:szCs w:val="28"/>
              </w:rPr>
              <w:t>等材料</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次，</w:t>
            </w:r>
            <w:r>
              <w:rPr>
                <w:rFonts w:hint="eastAsia" w:ascii="仿宋_GB2312" w:hAnsi="仿宋_GB2312" w:eastAsia="仿宋_GB2312" w:cs="仿宋_GB2312"/>
                <w:sz w:val="28"/>
                <w:szCs w:val="28"/>
                <w:lang w:val="en-US" w:eastAsia="zh-CN"/>
              </w:rPr>
              <w:t>浏览量</w:t>
            </w:r>
            <w:r>
              <w:rPr>
                <w:rFonts w:hint="eastAsia" w:ascii="仿宋_GB2312" w:hAnsi="仿宋_GB2312" w:eastAsia="仿宋_GB2312" w:cs="仿宋_GB2312"/>
                <w:sz w:val="28"/>
                <w:szCs w:val="28"/>
              </w:rPr>
              <w:t>超</w:t>
            </w:r>
            <w:r>
              <w:rPr>
                <w:rFonts w:hint="eastAsia" w:ascii="仿宋_GB2312" w:hAnsi="仿宋_GB2312" w:eastAsia="仿宋_GB2312" w:cs="仿宋_GB2312"/>
                <w:sz w:val="28"/>
                <w:szCs w:val="28"/>
                <w:lang w:val="en-US" w:eastAsia="zh-CN"/>
              </w:rPr>
              <w:t>200</w:t>
            </w:r>
            <w:r>
              <w:rPr>
                <w:rFonts w:hint="eastAsia" w:ascii="仿宋_GB2312" w:hAnsi="仿宋_GB2312" w:eastAsia="仿宋_GB2312" w:cs="仿宋_GB2312"/>
                <w:sz w:val="28"/>
                <w:szCs w:val="28"/>
              </w:rPr>
              <w:t>万次，有效扩大支部党建影响力。以学院网站为核心阵地，每周推送活动纪实、育人成果等内容，累计报送</w:t>
            </w:r>
            <w:r>
              <w:rPr>
                <w:rFonts w:hint="eastAsia" w:ascii="仿宋_GB2312" w:hAnsi="仿宋_GB2312" w:eastAsia="仿宋_GB2312" w:cs="仿宋_GB2312"/>
                <w:sz w:val="28"/>
                <w:szCs w:val="28"/>
                <w:lang w:val="en-US" w:eastAsia="zh-CN"/>
              </w:rPr>
              <w:t>20余</w:t>
            </w:r>
            <w:r>
              <w:rPr>
                <w:rFonts w:hint="eastAsia" w:ascii="仿宋_GB2312" w:hAnsi="仿宋_GB2312" w:eastAsia="仿宋_GB2312" w:cs="仿宋_GB2312"/>
                <w:sz w:val="28"/>
                <w:szCs w:val="28"/>
              </w:rPr>
              <w:t>次，</w:t>
            </w:r>
            <w:r>
              <w:rPr>
                <w:rFonts w:hint="eastAsia" w:ascii="仿宋_GB2312" w:hAnsi="仿宋_GB2312" w:eastAsia="仿宋_GB2312" w:cs="仿宋_GB2312"/>
                <w:sz w:val="28"/>
                <w:szCs w:val="28"/>
                <w:lang w:val="en-US" w:eastAsia="zh-CN"/>
              </w:rPr>
              <w:t>10余</w:t>
            </w:r>
            <w:r>
              <w:rPr>
                <w:rFonts w:hint="eastAsia" w:ascii="仿宋_GB2312" w:hAnsi="仿宋_GB2312" w:eastAsia="仿宋_GB2312" w:cs="仿宋_GB2312"/>
                <w:sz w:val="28"/>
                <w:szCs w:val="28"/>
              </w:rPr>
              <w:t>篇稿件被校级官网转载</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访问量超</w:t>
            </w:r>
            <w:r>
              <w:rPr>
                <w:rFonts w:hint="eastAsia" w:ascii="仿宋_GB2312" w:hAnsi="仿宋_GB2312" w:eastAsia="仿宋_GB2312" w:cs="仿宋_GB2312"/>
                <w:sz w:val="28"/>
                <w:szCs w:val="28"/>
                <w:lang w:val="en-US" w:eastAsia="zh-CN"/>
              </w:rPr>
              <w:t>2000</w:t>
            </w:r>
            <w:r>
              <w:rPr>
                <w:rFonts w:hint="eastAsia" w:ascii="仿宋_GB2312" w:hAnsi="仿宋_GB2312" w:eastAsia="仿宋_GB2312" w:cs="仿宋_GB2312"/>
                <w:sz w:val="28"/>
                <w:szCs w:val="28"/>
              </w:rPr>
              <w:t>次，成为校内党建工作的“展示窗口”与“学习样板”。</w:t>
            </w:r>
          </w:p>
          <w:p w14:paraId="12B0F2C4">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rPr>
              <w:t>多维度搭建辐射平台，影响力显著提升</w:t>
            </w:r>
          </w:p>
          <w:p w14:paraId="1A05787B">
            <w:pPr>
              <w:keepNext w:val="0"/>
              <w:keepLines w:val="0"/>
              <w:pageBreakBefore w:val="0"/>
              <w:widowControl/>
              <w:numPr>
                <w:ilvl w:val="0"/>
                <w:numId w:val="0"/>
              </w:numPr>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支部立足“校内示范、校地联动、跨校协作、线上延伸”，构建多层次项目辐射推广体系，推动样板党支部建设经验可复制、可推广。与5</w:t>
            </w:r>
            <w:r>
              <w:rPr>
                <w:rFonts w:hint="eastAsia" w:ascii="仿宋_GB2312" w:hAnsi="仿宋_GB2312" w:eastAsia="仿宋_GB2312" w:cs="仿宋_GB2312"/>
                <w:sz w:val="28"/>
                <w:szCs w:val="28"/>
                <w:lang w:val="en-US" w:eastAsia="zh-CN"/>
              </w:rPr>
              <w:t>个省级示范乡村党支部签订支部共建协议，打造</w:t>
            </w:r>
            <w:r>
              <w:rPr>
                <w:rFonts w:hint="eastAsia" w:ascii="仿宋_GB2312" w:hAnsi="仿宋_GB2312" w:eastAsia="仿宋_GB2312" w:cs="仿宋_GB2312"/>
                <w:sz w:val="28"/>
                <w:szCs w:val="28"/>
              </w:rPr>
              <w:t>党建育人实践基地</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累计为合作单位培训党员</w:t>
            </w:r>
            <w:r>
              <w:rPr>
                <w:rFonts w:hint="eastAsia" w:ascii="仿宋_GB2312" w:hAnsi="仿宋_GB2312" w:eastAsia="仿宋_GB2312" w:cs="仿宋_GB2312"/>
                <w:sz w:val="28"/>
                <w:szCs w:val="28"/>
                <w:lang w:val="en-US" w:eastAsia="zh-CN"/>
              </w:rPr>
              <w:t>200</w:t>
            </w:r>
            <w:r>
              <w:rPr>
                <w:rFonts w:hint="eastAsia" w:ascii="仿宋_GB2312" w:hAnsi="仿宋_GB2312" w:eastAsia="仿宋_GB2312" w:cs="仿宋_GB2312"/>
                <w:sz w:val="28"/>
                <w:szCs w:val="28"/>
              </w:rPr>
              <w:t>余人次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实现党建与地方发展同频共振。</w:t>
            </w:r>
          </w:p>
          <w:p w14:paraId="48FF3F8C">
            <w:pPr>
              <w:keepNext w:val="0"/>
              <w:keepLines w:val="0"/>
              <w:pageBreakBefore w:val="0"/>
              <w:widowControl/>
              <w:kinsoku/>
              <w:wordWrap/>
              <w:overflowPunct/>
              <w:topLinePunct w:val="0"/>
              <w:autoSpaceDE/>
              <w:autoSpaceDN/>
              <w:bidi w:val="0"/>
              <w:adjustRightInd/>
              <w:snapToGrid/>
              <w:spacing w:line="312"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val="en-US" w:eastAsia="zh-CN"/>
              </w:rPr>
              <w:t>3.</w:t>
            </w:r>
            <w:r>
              <w:rPr>
                <w:rFonts w:hint="eastAsia" w:ascii="仿宋_GB2312" w:hAnsi="仿宋_GB2312" w:eastAsia="仿宋_GB2312" w:cs="仿宋_GB2312"/>
                <w:b/>
                <w:bCs/>
                <w:sz w:val="28"/>
                <w:szCs w:val="28"/>
              </w:rPr>
              <w:t>量化呈现建设成效</w:t>
            </w:r>
          </w:p>
          <w:p w14:paraId="47229C01">
            <w:pPr>
              <w:keepNext w:val="0"/>
              <w:keepLines w:val="0"/>
              <w:pageBreakBefore w:val="0"/>
              <w:widowControl/>
              <w:kinsoku/>
              <w:wordWrap/>
              <w:overflowPunct/>
              <w:topLinePunct w:val="0"/>
              <w:autoSpaceDE/>
              <w:autoSpaceDN/>
              <w:bidi w:val="0"/>
              <w:adjustRightInd/>
              <w:snapToGrid/>
              <w:spacing w:line="312" w:lineRule="auto"/>
              <w:ind w:firstLine="562" w:firstLineChars="200"/>
              <w:textAlignment w:val="auto"/>
              <w:rPr>
                <w:rFonts w:hint="eastAsia" w:ascii="仿宋_GB2312" w:hAnsi="仿宋_GB2312" w:eastAsia="仿宋_GB2312" w:cs="仿宋_GB2312"/>
                <w:b/>
                <w:bCs/>
                <w:sz w:val="28"/>
                <w:szCs w:val="28"/>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1</w:t>
            </w: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rPr>
              <w:t>报送总量统计</w:t>
            </w:r>
          </w:p>
          <w:p w14:paraId="309E2EFE">
            <w:pPr>
              <w:keepNext w:val="0"/>
              <w:keepLines w:val="0"/>
              <w:pageBreakBefore w:val="0"/>
              <w:widowControl/>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lang w:val="en-US" w:eastAsia="zh-CN"/>
              </w:rPr>
              <w:t>两</w:t>
            </w:r>
            <w:r>
              <w:rPr>
                <w:rFonts w:hint="eastAsia" w:ascii="仿宋_GB2312" w:hAnsi="仿宋_GB2312" w:eastAsia="仿宋_GB2312" w:cs="仿宋_GB2312"/>
                <w:sz w:val="28"/>
                <w:szCs w:val="28"/>
              </w:rPr>
              <w:t>年累计向各级平台报送信息</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材料</w:t>
            </w:r>
            <w:r>
              <w:rPr>
                <w:rFonts w:hint="eastAsia" w:ascii="仿宋_GB2312" w:hAnsi="仿宋_GB2312" w:eastAsia="仿宋_GB2312" w:cs="仿宋_GB2312"/>
                <w:sz w:val="28"/>
                <w:szCs w:val="28"/>
                <w:lang w:val="en-US" w:eastAsia="zh-CN"/>
              </w:rPr>
              <w:t>40余</w:t>
            </w:r>
            <w:r>
              <w:rPr>
                <w:rFonts w:hint="eastAsia" w:ascii="仿宋_GB2312" w:hAnsi="仿宋_GB2312" w:eastAsia="仿宋_GB2312" w:cs="仿宋_GB2312"/>
                <w:sz w:val="28"/>
                <w:szCs w:val="28"/>
              </w:rPr>
              <w:t>次</w:t>
            </w:r>
            <w:r>
              <w:rPr>
                <w:rFonts w:hint="eastAsia" w:ascii="仿宋_GB2312" w:hAnsi="仿宋_GB2312" w:eastAsia="仿宋_GB2312" w:cs="仿宋_GB2312"/>
                <w:sz w:val="28"/>
                <w:szCs w:val="28"/>
                <w:lang w:eastAsia="zh-CN"/>
              </w:rPr>
              <w:t>，</w:t>
            </w:r>
            <w:r>
              <w:rPr>
                <w:rFonts w:hint="eastAsia" w:ascii="仿宋_GB2312" w:hAnsi="仿宋_GB2312" w:eastAsia="仿宋_GB2312" w:cs="仿宋_GB2312"/>
                <w:sz w:val="28"/>
                <w:szCs w:val="28"/>
              </w:rPr>
              <w:t>累计被各类平台采纳</w:t>
            </w:r>
            <w:r>
              <w:rPr>
                <w:rFonts w:hint="eastAsia" w:ascii="仿宋_GB2312" w:hAnsi="仿宋_GB2312" w:eastAsia="仿宋_GB2312" w:cs="仿宋_GB2312"/>
                <w:sz w:val="28"/>
                <w:szCs w:val="28"/>
                <w:lang w:val="en-US" w:eastAsia="zh-CN"/>
              </w:rPr>
              <w:t>20余</w:t>
            </w:r>
            <w:r>
              <w:rPr>
                <w:rFonts w:hint="eastAsia" w:ascii="仿宋_GB2312" w:hAnsi="仿宋_GB2312" w:eastAsia="仿宋_GB2312" w:cs="仿宋_GB2312"/>
                <w:sz w:val="28"/>
                <w:szCs w:val="28"/>
              </w:rPr>
              <w:t>次，信息采纳率达</w:t>
            </w:r>
            <w:r>
              <w:rPr>
                <w:rFonts w:hint="eastAsia" w:ascii="仿宋_GB2312" w:hAnsi="仿宋_GB2312" w:eastAsia="仿宋_GB2312" w:cs="仿宋_GB2312"/>
                <w:sz w:val="28"/>
                <w:szCs w:val="28"/>
                <w:lang w:val="en-US" w:eastAsia="zh-CN"/>
              </w:rPr>
              <w:t>50</w:t>
            </w:r>
            <w:r>
              <w:rPr>
                <w:rFonts w:hint="eastAsia" w:ascii="仿宋_GB2312" w:hAnsi="仿宋_GB2312" w:eastAsia="仿宋_GB2312" w:cs="仿宋_GB2312"/>
                <w:sz w:val="28"/>
                <w:szCs w:val="28"/>
              </w:rPr>
              <w:t>%，传播效果显著。</w:t>
            </w:r>
          </w:p>
          <w:p w14:paraId="70711380">
            <w:pPr>
              <w:keepNext w:val="0"/>
              <w:keepLines w:val="0"/>
              <w:pageBreakBefore w:val="0"/>
              <w:widowControl/>
              <w:kinsoku/>
              <w:wordWrap/>
              <w:overflowPunct/>
              <w:topLinePunct w:val="0"/>
              <w:autoSpaceDE/>
              <w:autoSpaceDN/>
              <w:bidi w:val="0"/>
              <w:adjustRightInd/>
              <w:snapToGrid/>
              <w:spacing w:line="312" w:lineRule="auto"/>
              <w:ind w:firstLine="562" w:firstLineChars="200"/>
              <w:textAlignment w:val="auto"/>
              <w:rPr>
                <w:rFonts w:hint="eastAsia" w:ascii="仿宋_GB2312" w:hAnsi="仿宋_GB2312" w:eastAsia="仿宋_GB2312" w:cs="仿宋_GB2312"/>
                <w:b/>
                <w:bCs/>
                <w:sz w:val="28"/>
                <w:szCs w:val="28"/>
                <w:lang w:eastAsia="zh-CN"/>
              </w:rPr>
            </w:pPr>
            <w:r>
              <w:rPr>
                <w:rFonts w:hint="eastAsia" w:ascii="仿宋_GB2312" w:hAnsi="仿宋_GB2312" w:eastAsia="仿宋_GB2312" w:cs="仿宋_GB2312"/>
                <w:b/>
                <w:bCs/>
                <w:sz w:val="28"/>
                <w:szCs w:val="28"/>
                <w:lang w:eastAsia="zh-CN"/>
              </w:rPr>
              <w:t>（</w:t>
            </w:r>
            <w:r>
              <w:rPr>
                <w:rFonts w:hint="eastAsia" w:ascii="仿宋_GB2312" w:hAnsi="仿宋_GB2312" w:eastAsia="仿宋_GB2312" w:cs="仿宋_GB2312"/>
                <w:b/>
                <w:bCs/>
                <w:sz w:val="28"/>
                <w:szCs w:val="28"/>
                <w:lang w:val="en-US" w:eastAsia="zh-CN"/>
              </w:rPr>
              <w:t>2</w:t>
            </w:r>
            <w:r>
              <w:rPr>
                <w:rFonts w:hint="eastAsia" w:ascii="仿宋_GB2312" w:hAnsi="仿宋_GB2312" w:eastAsia="仿宋_GB2312" w:cs="仿宋_GB2312"/>
                <w:b/>
                <w:bCs/>
                <w:sz w:val="28"/>
                <w:szCs w:val="28"/>
                <w:lang w:eastAsia="zh-CN"/>
              </w:rPr>
              <w:t>）核心标志性成果</w:t>
            </w:r>
          </w:p>
          <w:p w14:paraId="42DB64AE">
            <w:pPr>
              <w:keepNext w:val="0"/>
              <w:keepLines w:val="0"/>
              <w:pageBreakBefore w:val="0"/>
              <w:widowControl/>
              <w:kinsoku/>
              <w:wordWrap/>
              <w:overflowPunct/>
              <w:topLinePunct w:val="0"/>
              <w:autoSpaceDE/>
              <w:autoSpaceDN/>
              <w:bidi w:val="0"/>
              <w:adjustRightInd/>
              <w:snapToGrid/>
              <w:spacing w:line="312" w:lineRule="auto"/>
              <w:ind w:firstLine="560" w:firstLineChars="200"/>
              <w:textAlignment w:val="auto"/>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1个</w:t>
            </w:r>
            <w:r>
              <w:rPr>
                <w:rFonts w:hint="eastAsia" w:ascii="仿宋_GB2312" w:hAnsi="仿宋_GB2312" w:eastAsia="仿宋_GB2312" w:cs="仿宋_GB2312"/>
                <w:sz w:val="28"/>
                <w:szCs w:val="28"/>
                <w:lang w:val="en-US" w:eastAsia="zh-CN"/>
              </w:rPr>
              <w:t>总结报告被教育部高等学校科学研究发展中心采纳</w:t>
            </w:r>
            <w:r>
              <w:rPr>
                <w:rFonts w:hint="eastAsia" w:ascii="仿宋_GB2312" w:hAnsi="仿宋_GB2312" w:eastAsia="仿宋_GB2312" w:cs="仿宋_GB2312"/>
                <w:sz w:val="28"/>
                <w:szCs w:val="28"/>
              </w:rPr>
              <w:t>、</w:t>
            </w: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rPr>
              <w:t>篇稿</w:t>
            </w:r>
            <w:r>
              <w:rPr>
                <w:rFonts w:hint="eastAsia" w:ascii="仿宋_GB2312" w:hAnsi="仿宋_GB2312" w:eastAsia="仿宋_GB2312" w:cs="仿宋_GB2312"/>
                <w:sz w:val="28"/>
                <w:szCs w:val="28"/>
                <w:lang w:val="en-US" w:eastAsia="zh-CN"/>
              </w:rPr>
              <w:t>件被新华网、全国思想政治工作网等平台</w:t>
            </w:r>
            <w:r>
              <w:rPr>
                <w:rFonts w:hint="eastAsia" w:ascii="仿宋_GB2312" w:hAnsi="仿宋_GB2312" w:eastAsia="仿宋_GB2312" w:cs="仿宋_GB2312"/>
                <w:sz w:val="28"/>
                <w:szCs w:val="28"/>
              </w:rPr>
              <w:t>采纳；与</w:t>
            </w:r>
            <w:r>
              <w:rPr>
                <w:rFonts w:hint="eastAsia" w:ascii="仿宋_GB2312" w:hAnsi="仿宋_GB2312" w:eastAsia="仿宋_GB2312" w:cs="仿宋_GB2312"/>
                <w:sz w:val="28"/>
                <w:szCs w:val="28"/>
                <w:lang w:val="en-US" w:eastAsia="zh-CN"/>
              </w:rPr>
              <w:t>5个省级示范乡村党支部进行结对共建，</w:t>
            </w:r>
            <w:r>
              <w:rPr>
                <w:rFonts w:hint="eastAsia" w:ascii="仿宋_GB2312" w:hAnsi="仿宋_GB2312" w:eastAsia="仿宋_GB2312" w:cs="仿宋_GB2312"/>
                <w:sz w:val="28"/>
                <w:szCs w:val="28"/>
              </w:rPr>
              <w:t>建立帮扶、培训党员200余人次，实现党建成果多方转化，切实发挥样板党支部“引领、带动、辐射”作用。</w:t>
            </w:r>
          </w:p>
          <w:p w14:paraId="1A66D656">
            <w:pPr>
              <w:keepNext w:val="0"/>
              <w:keepLines w:val="0"/>
              <w:pageBreakBefore w:val="0"/>
              <w:widowControl/>
              <w:kinsoku/>
              <w:wordWrap/>
              <w:overflowPunct/>
              <w:topLinePunct w:val="0"/>
              <w:autoSpaceDE/>
              <w:autoSpaceDN/>
              <w:bidi w:val="0"/>
              <w:adjustRightInd/>
              <w:snapToGrid/>
              <w:spacing w:line="312" w:lineRule="auto"/>
              <w:ind w:firstLine="560" w:firstLineChars="200"/>
              <w:textAlignment w:val="auto"/>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en-US" w:eastAsia="zh-CN"/>
              </w:rPr>
              <w:t>下一步，党支部将持续优化信息报送机制、拓展辐射推广渠道，进一步提升样板党支部建设质量，推动党建工作与育人、科研、服务深度融合，为高校党建工作高质量发展贡献更多实践经验。具体见下表：</w:t>
            </w:r>
          </w:p>
          <w:tbl>
            <w:tblPr>
              <w:tblStyle w:val="12"/>
              <w:tblW w:w="95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1"/>
              <w:gridCol w:w="1215"/>
              <w:gridCol w:w="4685"/>
              <w:gridCol w:w="2783"/>
            </w:tblGrid>
            <w:tr w14:paraId="729D1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trPr>
              <w:tc>
                <w:tcPr>
                  <w:tcW w:w="9504" w:type="dxa"/>
                  <w:gridSpan w:val="4"/>
                  <w:vAlign w:val="center"/>
                </w:tcPr>
                <w:p w14:paraId="214FEDD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b/>
                      <w:bCs/>
                      <w:kern w:val="2"/>
                      <w:sz w:val="28"/>
                      <w:szCs w:val="28"/>
                      <w:lang w:val="en-US" w:eastAsia="zh-CN" w:bidi="zh-CN"/>
                    </w:rPr>
                    <w:t>报送总量及有关标志性成果</w:t>
                  </w:r>
                </w:p>
              </w:tc>
            </w:tr>
            <w:tr w14:paraId="2B616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821" w:type="dxa"/>
                  <w:vAlign w:val="center"/>
                </w:tcPr>
                <w:p w14:paraId="3E301BBB">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序号</w:t>
                  </w:r>
                </w:p>
              </w:tc>
              <w:tc>
                <w:tcPr>
                  <w:tcW w:w="1215" w:type="dxa"/>
                  <w:vAlign w:val="center"/>
                </w:tcPr>
                <w:p w14:paraId="48DD805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成果形式</w:t>
                  </w:r>
                </w:p>
              </w:tc>
              <w:tc>
                <w:tcPr>
                  <w:tcW w:w="4685" w:type="dxa"/>
                  <w:vAlign w:val="center"/>
                </w:tcPr>
                <w:p w14:paraId="649619E7">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成果名称</w:t>
                  </w:r>
                </w:p>
              </w:tc>
              <w:tc>
                <w:tcPr>
                  <w:tcW w:w="2783" w:type="dxa"/>
                  <w:vAlign w:val="center"/>
                </w:tcPr>
                <w:p w14:paraId="24DB5731">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b/>
                      <w:bCs/>
                      <w:kern w:val="2"/>
                      <w:sz w:val="24"/>
                      <w:szCs w:val="24"/>
                      <w:lang w:val="en-US" w:eastAsia="zh-CN" w:bidi="zh-CN"/>
                    </w:rPr>
                  </w:pPr>
                  <w:r>
                    <w:rPr>
                      <w:rFonts w:hint="eastAsia" w:ascii="仿宋_GB2312" w:hAnsi="仿宋_GB2312" w:eastAsia="仿宋_GB2312" w:cs="仿宋_GB2312"/>
                      <w:b/>
                      <w:bCs/>
                      <w:kern w:val="2"/>
                      <w:sz w:val="24"/>
                      <w:szCs w:val="24"/>
                      <w:lang w:val="en-US" w:eastAsia="zh-CN" w:bidi="zh-CN"/>
                    </w:rPr>
                    <w:t>备注</w:t>
                  </w:r>
                </w:p>
              </w:tc>
            </w:tr>
            <w:tr w14:paraId="731E4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250FBE42">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w:t>
                  </w:r>
                </w:p>
              </w:tc>
              <w:tc>
                <w:tcPr>
                  <w:tcW w:w="1215" w:type="dxa"/>
                  <w:shd w:val="clear" w:color="auto" w:fill="auto"/>
                  <w:vAlign w:val="center"/>
                </w:tcPr>
                <w:p w14:paraId="2F0BC33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w:t>
                  </w:r>
                </w:p>
              </w:tc>
              <w:tc>
                <w:tcPr>
                  <w:tcW w:w="4685" w:type="dxa"/>
                  <w:shd w:val="clear" w:color="auto" w:fill="auto"/>
                  <w:vAlign w:val="top"/>
                </w:tcPr>
                <w:p w14:paraId="284ECA9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文化赋能“大思政课” 四川信息职业技术学院以“三链递进”打造“蜀道思政”育人品牌</w:t>
                  </w:r>
                </w:p>
              </w:tc>
              <w:tc>
                <w:tcPr>
                  <w:tcW w:w="2783" w:type="dxa"/>
                  <w:shd w:val="clear" w:color="auto" w:fill="auto"/>
                  <w:vAlign w:val="top"/>
                </w:tcPr>
                <w:p w14:paraId="5F11A032">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2025年9月发表在新华网、半月谈</w:t>
                  </w:r>
                </w:p>
              </w:tc>
            </w:tr>
            <w:tr w14:paraId="73E10B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3FBB6EB">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w:t>
                  </w:r>
                </w:p>
              </w:tc>
              <w:tc>
                <w:tcPr>
                  <w:tcW w:w="1215" w:type="dxa"/>
                  <w:shd w:val="clear" w:color="auto" w:fill="auto"/>
                  <w:vAlign w:val="center"/>
                </w:tcPr>
                <w:p w14:paraId="49D994D1">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总结报告</w:t>
                  </w:r>
                </w:p>
              </w:tc>
              <w:tc>
                <w:tcPr>
                  <w:tcW w:w="4685" w:type="dxa"/>
                  <w:shd w:val="clear" w:color="auto" w:fill="auto"/>
                  <w:vAlign w:val="center"/>
                </w:tcPr>
                <w:p w14:paraId="617D582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“135”红色文化资源育人工作成果总结</w:t>
                  </w:r>
                </w:p>
              </w:tc>
              <w:tc>
                <w:tcPr>
                  <w:tcW w:w="2783" w:type="dxa"/>
                  <w:shd w:val="clear" w:color="auto" w:fill="auto"/>
                  <w:vAlign w:val="top"/>
                </w:tcPr>
                <w:p w14:paraId="0FFD316D">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2025年3月被教育部高等学校科学研究发展中心采纳</w:t>
                  </w:r>
                </w:p>
              </w:tc>
            </w:tr>
            <w:tr w14:paraId="7B91E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1F8F1E8">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3</w:t>
                  </w:r>
                </w:p>
              </w:tc>
              <w:tc>
                <w:tcPr>
                  <w:tcW w:w="1215" w:type="dxa"/>
                  <w:shd w:val="clear" w:color="auto" w:fill="auto"/>
                  <w:vAlign w:val="center"/>
                </w:tcPr>
                <w:p w14:paraId="41F2E04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案例文章</w:t>
                  </w:r>
                </w:p>
              </w:tc>
              <w:tc>
                <w:tcPr>
                  <w:tcW w:w="4685" w:type="dxa"/>
                  <w:shd w:val="clear" w:color="auto" w:fill="auto"/>
                  <w:vAlign w:val="center"/>
                </w:tcPr>
                <w:p w14:paraId="04CCD02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激活红色文化基因，构建数字化思政教育新生态</w:t>
                  </w:r>
                </w:p>
              </w:tc>
              <w:tc>
                <w:tcPr>
                  <w:tcW w:w="2783" w:type="dxa"/>
                  <w:shd w:val="clear" w:color="auto" w:fill="auto"/>
                  <w:vAlign w:val="top"/>
                </w:tcPr>
                <w:p w14:paraId="689D7B4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2025年7月发表在全国</w:t>
                  </w:r>
                </w:p>
                <w:p w14:paraId="6E22EE4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高校思想政治工作网</w:t>
                  </w:r>
                </w:p>
              </w:tc>
            </w:tr>
            <w:tr w14:paraId="28A57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03BA9E4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4</w:t>
                  </w:r>
                </w:p>
              </w:tc>
              <w:tc>
                <w:tcPr>
                  <w:tcW w:w="1215" w:type="dxa"/>
                  <w:shd w:val="clear" w:color="auto" w:fill="auto"/>
                  <w:vAlign w:val="top"/>
                </w:tcPr>
                <w:p w14:paraId="351D167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案例文章</w:t>
                  </w:r>
                </w:p>
              </w:tc>
              <w:tc>
                <w:tcPr>
                  <w:tcW w:w="4685" w:type="dxa"/>
                  <w:shd w:val="clear" w:color="auto" w:fill="auto"/>
                  <w:vAlign w:val="center"/>
                </w:tcPr>
                <w:p w14:paraId="5B3B015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五维“廉”动，构建廉洁育人大格局</w:t>
                  </w:r>
                </w:p>
              </w:tc>
              <w:tc>
                <w:tcPr>
                  <w:tcW w:w="2783" w:type="dxa"/>
                  <w:shd w:val="clear" w:color="auto" w:fill="auto"/>
                  <w:vAlign w:val="top"/>
                </w:tcPr>
                <w:p w14:paraId="281FCBEA">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2025年6月发表在全国</w:t>
                  </w:r>
                </w:p>
                <w:p w14:paraId="4B61C44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高校思想政治工作网</w:t>
                  </w:r>
                </w:p>
              </w:tc>
            </w:tr>
            <w:tr w14:paraId="73385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4EC0ABC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5</w:t>
                  </w:r>
                </w:p>
              </w:tc>
              <w:tc>
                <w:tcPr>
                  <w:tcW w:w="1215" w:type="dxa"/>
                  <w:shd w:val="clear" w:color="auto" w:fill="auto"/>
                  <w:vAlign w:val="top"/>
                </w:tcPr>
                <w:p w14:paraId="4916C12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案例文章</w:t>
                  </w:r>
                </w:p>
              </w:tc>
              <w:tc>
                <w:tcPr>
                  <w:tcW w:w="4685" w:type="dxa"/>
                  <w:shd w:val="clear" w:color="auto" w:fill="auto"/>
                  <w:vAlign w:val="center"/>
                </w:tcPr>
                <w:p w14:paraId="32F3B2B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“四同四化”聚合力，党建育人树清风</w:t>
                  </w:r>
                </w:p>
              </w:tc>
              <w:tc>
                <w:tcPr>
                  <w:tcW w:w="2783" w:type="dxa"/>
                  <w:shd w:val="clear" w:color="auto" w:fill="auto"/>
                  <w:vAlign w:val="top"/>
                </w:tcPr>
                <w:p w14:paraId="1C22140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2025年6月发表在全国</w:t>
                  </w:r>
                </w:p>
                <w:p w14:paraId="10A24C2A">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高校思想政治工作网</w:t>
                  </w:r>
                </w:p>
              </w:tc>
            </w:tr>
            <w:tr w14:paraId="7A07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36B61352">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6</w:t>
                  </w:r>
                </w:p>
              </w:tc>
              <w:tc>
                <w:tcPr>
                  <w:tcW w:w="1215" w:type="dxa"/>
                  <w:shd w:val="clear" w:color="auto" w:fill="auto"/>
                  <w:vAlign w:val="center"/>
                </w:tcPr>
                <w:p w14:paraId="59FB883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案例文章</w:t>
                  </w:r>
                </w:p>
              </w:tc>
              <w:tc>
                <w:tcPr>
                  <w:tcW w:w="4685" w:type="dxa"/>
                  <w:shd w:val="clear" w:color="auto" w:fill="auto"/>
                  <w:vAlign w:val="center"/>
                </w:tcPr>
                <w:p w14:paraId="6967038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铸魂育人担使命 奋楫笃行启新程——四川信息职业技术学院马克思主义学院的发展历程与使命担当</w:t>
                  </w:r>
                </w:p>
              </w:tc>
              <w:tc>
                <w:tcPr>
                  <w:tcW w:w="2783" w:type="dxa"/>
                  <w:shd w:val="clear" w:color="auto" w:fill="auto"/>
                  <w:vAlign w:val="top"/>
                </w:tcPr>
                <w:p w14:paraId="43A2AE0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2025年10月发表在</w:t>
                  </w:r>
                </w:p>
                <w:p w14:paraId="2B0AC0D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广元日报</w:t>
                  </w:r>
                </w:p>
              </w:tc>
            </w:tr>
            <w:tr w14:paraId="5966C1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1EB65AA7">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7</w:t>
                  </w:r>
                </w:p>
              </w:tc>
              <w:tc>
                <w:tcPr>
                  <w:tcW w:w="1215" w:type="dxa"/>
                  <w:shd w:val="clear" w:color="auto" w:fill="auto"/>
                  <w:vAlign w:val="center"/>
                </w:tcPr>
                <w:p w14:paraId="0906F0F2">
                  <w:pPr>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案例文章</w:t>
                  </w:r>
                </w:p>
              </w:tc>
              <w:tc>
                <w:tcPr>
                  <w:tcW w:w="4685" w:type="dxa"/>
                  <w:shd w:val="clear" w:color="auto" w:fill="auto"/>
                  <w:vAlign w:val="center"/>
                </w:tcPr>
                <w:p w14:paraId="102A2754">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“四共四融”推进中高职思政课一体化建设</w:t>
                  </w:r>
                </w:p>
              </w:tc>
              <w:tc>
                <w:tcPr>
                  <w:tcW w:w="2783" w:type="dxa"/>
                  <w:shd w:val="clear" w:color="auto" w:fill="auto"/>
                  <w:vAlign w:val="top"/>
                </w:tcPr>
                <w:p w14:paraId="0D048624">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2024年4月发表在中国教育在线</w:t>
                  </w:r>
                </w:p>
              </w:tc>
            </w:tr>
            <w:tr w14:paraId="2E514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5F4CC5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8</w:t>
                  </w:r>
                </w:p>
              </w:tc>
              <w:tc>
                <w:tcPr>
                  <w:tcW w:w="1215" w:type="dxa"/>
                  <w:shd w:val="clear" w:color="auto" w:fill="auto"/>
                  <w:vAlign w:val="center"/>
                </w:tcPr>
                <w:p w14:paraId="7F92E16B">
                  <w:pPr>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案例文章</w:t>
                  </w:r>
                </w:p>
              </w:tc>
              <w:tc>
                <w:tcPr>
                  <w:tcW w:w="4685" w:type="dxa"/>
                  <w:shd w:val="clear" w:color="auto" w:fill="auto"/>
                  <w:vAlign w:val="center"/>
                </w:tcPr>
                <w:p w14:paraId="49CA6A17">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五化格局推动思政课实践教学改革创新</w:t>
                  </w:r>
                </w:p>
              </w:tc>
              <w:tc>
                <w:tcPr>
                  <w:tcW w:w="2783" w:type="dxa"/>
                  <w:shd w:val="clear" w:color="auto" w:fill="auto"/>
                  <w:vAlign w:val="top"/>
                </w:tcPr>
                <w:p w14:paraId="7D464B1F">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2022年1月发表在学习强国四川学习平台</w:t>
                  </w:r>
                </w:p>
              </w:tc>
            </w:tr>
            <w:tr w14:paraId="706DD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1DEA7375">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9</w:t>
                  </w:r>
                </w:p>
              </w:tc>
              <w:tc>
                <w:tcPr>
                  <w:tcW w:w="1215" w:type="dxa"/>
                  <w:shd w:val="clear" w:color="auto" w:fill="auto"/>
                  <w:vAlign w:val="center"/>
                </w:tcPr>
                <w:p w14:paraId="3CF36E57">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案例文章</w:t>
                  </w:r>
                </w:p>
              </w:tc>
              <w:tc>
                <w:tcPr>
                  <w:tcW w:w="4685" w:type="dxa"/>
                  <w:shd w:val="clear" w:color="auto" w:fill="auto"/>
                  <w:vAlign w:val="center"/>
                </w:tcPr>
                <w:p w14:paraId="07621B8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《善用‘加减乘除’工作法，推动党的二十大精神走深走实”》</w:t>
                  </w:r>
                </w:p>
              </w:tc>
              <w:tc>
                <w:tcPr>
                  <w:tcW w:w="2783" w:type="dxa"/>
                  <w:shd w:val="clear" w:color="auto" w:fill="auto"/>
                  <w:vAlign w:val="top"/>
                </w:tcPr>
                <w:p w14:paraId="262117BA">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2022年12月被四川职教网采用</w:t>
                  </w:r>
                </w:p>
              </w:tc>
            </w:tr>
            <w:tr w14:paraId="120E4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0178E28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10</w:t>
                  </w:r>
                </w:p>
              </w:tc>
              <w:tc>
                <w:tcPr>
                  <w:tcW w:w="1215" w:type="dxa"/>
                  <w:vAlign w:val="center"/>
                </w:tcPr>
                <w:p w14:paraId="5445464F">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4EA1D49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马克思主义学院开展“场馆里的思政课”实践教学活动</w:t>
                  </w:r>
                </w:p>
              </w:tc>
              <w:tc>
                <w:tcPr>
                  <w:tcW w:w="2783" w:type="dxa"/>
                  <w:vAlign w:val="top"/>
                </w:tcPr>
                <w:p w14:paraId="22B7BC5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2023年学校官网</w:t>
                  </w:r>
                </w:p>
              </w:tc>
            </w:tr>
            <w:tr w14:paraId="0EBAB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0E66E8E">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11</w:t>
                  </w:r>
                </w:p>
              </w:tc>
              <w:tc>
                <w:tcPr>
                  <w:tcW w:w="1215" w:type="dxa"/>
                  <w:vAlign w:val="center"/>
                </w:tcPr>
                <w:p w14:paraId="67D16E9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54956F7B">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树立良好家风 涵养廉洁文化 ——德法概论党支部主题党日活动走进川北家风馆</w:t>
                  </w:r>
                </w:p>
              </w:tc>
              <w:tc>
                <w:tcPr>
                  <w:tcW w:w="2783" w:type="dxa"/>
                  <w:vAlign w:val="top"/>
                </w:tcPr>
                <w:p w14:paraId="6442F265">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2024年学校官网</w:t>
                  </w:r>
                </w:p>
              </w:tc>
            </w:tr>
            <w:tr w14:paraId="4F2F2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4E8168F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12</w:t>
                  </w:r>
                </w:p>
              </w:tc>
              <w:tc>
                <w:tcPr>
                  <w:tcW w:w="1215" w:type="dxa"/>
                  <w:vAlign w:val="center"/>
                </w:tcPr>
                <w:p w14:paraId="6516B596">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21667C1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马院党总支基础党支部下沉基层一线参加疫情防控志愿服务工作</w:t>
                  </w:r>
                </w:p>
              </w:tc>
              <w:tc>
                <w:tcPr>
                  <w:tcW w:w="2783" w:type="dxa"/>
                  <w:vAlign w:val="top"/>
                </w:tcPr>
                <w:p w14:paraId="24A3F61E">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2022年学校官网</w:t>
                  </w:r>
                </w:p>
              </w:tc>
            </w:tr>
            <w:tr w14:paraId="394DE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F12653C">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13</w:t>
                  </w:r>
                </w:p>
              </w:tc>
              <w:tc>
                <w:tcPr>
                  <w:tcW w:w="1215" w:type="dxa"/>
                  <w:vAlign w:val="center"/>
                </w:tcPr>
                <w:p w14:paraId="173CF52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5E2DD66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马克思主义学院党总支基础党支部教师为招就保卫联合党支部作主题宣讲</w:t>
                  </w:r>
                </w:p>
              </w:tc>
              <w:tc>
                <w:tcPr>
                  <w:tcW w:w="2783" w:type="dxa"/>
                  <w:vAlign w:val="top"/>
                </w:tcPr>
                <w:p w14:paraId="30DAEDB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2022年学校官网</w:t>
                  </w:r>
                </w:p>
              </w:tc>
            </w:tr>
            <w:tr w14:paraId="09CCB4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3B49EB4C">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14</w:t>
                  </w:r>
                </w:p>
              </w:tc>
              <w:tc>
                <w:tcPr>
                  <w:tcW w:w="1215" w:type="dxa"/>
                  <w:vAlign w:val="center"/>
                </w:tcPr>
                <w:p w14:paraId="6901B744">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336E33A6">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马院党总支基础党支部开展“走访功勋老兵 传承红色基因”主题党日活动</w:t>
                  </w:r>
                </w:p>
              </w:tc>
              <w:tc>
                <w:tcPr>
                  <w:tcW w:w="2783" w:type="dxa"/>
                  <w:vAlign w:val="top"/>
                </w:tcPr>
                <w:p w14:paraId="0BC6C10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2022年学校官网</w:t>
                  </w:r>
                </w:p>
              </w:tc>
            </w:tr>
            <w:tr w14:paraId="1E484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22B8FEB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15</w:t>
                  </w:r>
                </w:p>
              </w:tc>
              <w:tc>
                <w:tcPr>
                  <w:tcW w:w="1215" w:type="dxa"/>
                  <w:vAlign w:val="center"/>
                </w:tcPr>
                <w:p w14:paraId="22F1B1ED">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1F89BCC7">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马克思主义学院基础党支部赴青川县开展党史学习教育活动</w:t>
                  </w:r>
                </w:p>
              </w:tc>
              <w:tc>
                <w:tcPr>
                  <w:tcW w:w="2783" w:type="dxa"/>
                  <w:vAlign w:val="top"/>
                </w:tcPr>
                <w:p w14:paraId="2378606E">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2022年学校官网</w:t>
                  </w:r>
                </w:p>
              </w:tc>
            </w:tr>
            <w:tr w14:paraId="57F57C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20BE126">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16</w:t>
                  </w:r>
                </w:p>
              </w:tc>
              <w:tc>
                <w:tcPr>
                  <w:tcW w:w="1215" w:type="dxa"/>
                  <w:vAlign w:val="center"/>
                </w:tcPr>
                <w:p w14:paraId="70535798">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39C19B7A">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基础党支部开展“弘扬伟大抗震精神”主题党日活动</w:t>
                  </w:r>
                </w:p>
              </w:tc>
              <w:tc>
                <w:tcPr>
                  <w:tcW w:w="2783" w:type="dxa"/>
                  <w:vAlign w:val="top"/>
                </w:tcPr>
                <w:p w14:paraId="4DAB3821">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2022年学校官网</w:t>
                  </w:r>
                </w:p>
              </w:tc>
            </w:tr>
            <w:tr w14:paraId="786BD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CA0B7C1">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17</w:t>
                  </w:r>
                </w:p>
              </w:tc>
              <w:tc>
                <w:tcPr>
                  <w:tcW w:w="1215" w:type="dxa"/>
                  <w:vAlign w:val="center"/>
                </w:tcPr>
                <w:p w14:paraId="5E43A548">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简讯</w:t>
                  </w:r>
                </w:p>
              </w:tc>
              <w:tc>
                <w:tcPr>
                  <w:tcW w:w="4685" w:type="dxa"/>
                  <w:vAlign w:val="top"/>
                </w:tcPr>
                <w:p w14:paraId="502F0E0C">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马院基础党支部与青川县沙州镇青坪村党支部举行结对共建活动</w:t>
                  </w:r>
                </w:p>
              </w:tc>
              <w:tc>
                <w:tcPr>
                  <w:tcW w:w="2783" w:type="dxa"/>
                  <w:vAlign w:val="top"/>
                </w:tcPr>
                <w:p w14:paraId="2748C5E3">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2022年学校官网</w:t>
                  </w:r>
                </w:p>
              </w:tc>
            </w:tr>
            <w:tr w14:paraId="56A27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1" w:type="dxa"/>
                  <w:shd w:val="clear" w:color="auto" w:fill="auto"/>
                  <w:vAlign w:val="center"/>
                </w:tcPr>
                <w:p w14:paraId="55F08899">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default"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18</w:t>
                  </w:r>
                </w:p>
              </w:tc>
              <w:tc>
                <w:tcPr>
                  <w:tcW w:w="1215" w:type="dxa"/>
                  <w:shd w:val="clear" w:color="auto" w:fill="auto"/>
                  <w:vAlign w:val="center"/>
                </w:tcPr>
                <w:p w14:paraId="3296091E">
                  <w:pPr>
                    <w:pStyle w:val="17"/>
                    <w:pageBreakBefore w:val="0"/>
                    <w:widowControl w:val="0"/>
                    <w:kinsoku/>
                    <w:wordWrap/>
                    <w:overflowPunct/>
                    <w:topLinePunct w:val="0"/>
                    <w:autoSpaceDE/>
                    <w:autoSpaceDN/>
                    <w:bidi w:val="0"/>
                    <w:adjustRightInd/>
                    <w:snapToGrid/>
                    <w:spacing w:before="0" w:after="0" w:line="360" w:lineRule="exact"/>
                    <w:ind w:left="0" w:leftChars="0"/>
                    <w:jc w:val="center"/>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共建基地</w:t>
                  </w:r>
                </w:p>
              </w:tc>
              <w:tc>
                <w:tcPr>
                  <w:tcW w:w="4685" w:type="dxa"/>
                  <w:shd w:val="clear" w:color="auto" w:fill="auto"/>
                  <w:vAlign w:val="top"/>
                </w:tcPr>
                <w:p w14:paraId="4D9CEAB0">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与青川县张家村、青坪村、剑阁县双旗村、双西村、旺苍县三合村共建党支部</w:t>
                  </w:r>
                </w:p>
              </w:tc>
              <w:tc>
                <w:tcPr>
                  <w:tcW w:w="2783" w:type="dxa"/>
                  <w:shd w:val="clear" w:color="auto" w:fill="auto"/>
                  <w:vAlign w:val="top"/>
                </w:tcPr>
                <w:p w14:paraId="37946069">
                  <w:pPr>
                    <w:pStyle w:val="17"/>
                    <w:pageBreakBefore w:val="0"/>
                    <w:widowControl w:val="0"/>
                    <w:kinsoku/>
                    <w:wordWrap/>
                    <w:overflowPunct/>
                    <w:topLinePunct w:val="0"/>
                    <w:autoSpaceDE/>
                    <w:autoSpaceDN/>
                    <w:bidi w:val="0"/>
                    <w:adjustRightInd/>
                    <w:snapToGrid/>
                    <w:spacing w:before="0" w:after="0" w:line="360" w:lineRule="exact"/>
                    <w:ind w:left="0" w:leftChars="0"/>
                    <w:textAlignment w:val="auto"/>
                    <w:rPr>
                      <w:rFonts w:hint="eastAsia" w:ascii="仿宋_GB2312" w:hAnsi="仿宋_GB2312" w:eastAsia="仿宋_GB2312" w:cs="仿宋_GB2312"/>
                      <w:kern w:val="2"/>
                      <w:sz w:val="24"/>
                      <w:szCs w:val="24"/>
                      <w:lang w:val="en-US" w:eastAsia="zh-CN" w:bidi="zh-CN"/>
                    </w:rPr>
                  </w:pPr>
                  <w:r>
                    <w:rPr>
                      <w:rFonts w:hint="eastAsia" w:ascii="仿宋_GB2312" w:hAnsi="仿宋_GB2312" w:eastAsia="仿宋_GB2312" w:cs="仿宋_GB2312"/>
                      <w:kern w:val="2"/>
                      <w:sz w:val="24"/>
                      <w:szCs w:val="24"/>
                      <w:lang w:val="en-US" w:eastAsia="zh-CN" w:bidi="zh-CN"/>
                    </w:rPr>
                    <w:t>支部共建</w:t>
                  </w:r>
                </w:p>
              </w:tc>
            </w:tr>
          </w:tbl>
          <w:p w14:paraId="72B20A29"/>
        </w:tc>
      </w:tr>
      <w:tr w14:paraId="44C6A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0" w:type="dxa"/>
          </w:tcPr>
          <w:p w14:paraId="48278D4F">
            <w:pPr>
              <w:widowControl/>
              <w:jc w:val="left"/>
              <w:rPr>
                <w:sz w:val="32"/>
                <w:szCs w:val="32"/>
              </w:rPr>
            </w:pPr>
            <w:r>
              <w:rPr>
                <w:rFonts w:hint="eastAsia" w:ascii="楷体" w:hAnsi="楷体" w:eastAsia="楷体" w:cs="楷体"/>
                <w:b/>
                <w:bCs/>
                <w:sz w:val="32"/>
                <w:szCs w:val="32"/>
              </w:rPr>
              <w:t xml:space="preserve">（五）负面清单自查情况 </w:t>
            </w:r>
          </w:p>
          <w:p w14:paraId="111760F0">
            <w:pPr>
              <w:widowControl/>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马克思主义学院德法概论党支部（基础党支部）样板党支部自创建以来，不存在负面清单所列任何事项。</w:t>
            </w:r>
          </w:p>
          <w:p w14:paraId="62C75BA4">
            <w:pPr>
              <w:pStyle w:val="2"/>
            </w:pPr>
          </w:p>
          <w:p w14:paraId="5C4DEE43"/>
          <w:p w14:paraId="320D176C">
            <w:pPr>
              <w:pStyle w:val="2"/>
            </w:pPr>
          </w:p>
          <w:p w14:paraId="413B90C6"/>
          <w:p w14:paraId="32282BFA">
            <w:pPr>
              <w:pStyle w:val="2"/>
            </w:pPr>
          </w:p>
          <w:p w14:paraId="09609D81"/>
          <w:p w14:paraId="33800437">
            <w:pPr>
              <w:pStyle w:val="2"/>
            </w:pPr>
          </w:p>
          <w:p w14:paraId="0270114E"/>
        </w:tc>
      </w:tr>
    </w:tbl>
    <w:p w14:paraId="0511899B">
      <w:pPr>
        <w:widowControl/>
        <w:jc w:val="left"/>
        <w:rPr>
          <w:sz w:val="32"/>
          <w:szCs w:val="32"/>
        </w:rPr>
      </w:pPr>
      <w:r>
        <w:rPr>
          <w:rFonts w:hint="eastAsia" w:ascii="黑体" w:hAnsi="宋体" w:eastAsia="黑体" w:cs="黑体"/>
          <w:color w:val="000000"/>
          <w:kern w:val="0"/>
          <w:sz w:val="32"/>
          <w:szCs w:val="32"/>
          <w:lang w:bidi="ar"/>
        </w:rPr>
        <w:t>三</w:t>
      </w:r>
      <w:r>
        <w:rPr>
          <w:rFonts w:ascii="黑体" w:hAnsi="宋体" w:eastAsia="黑体" w:cs="黑体"/>
          <w:color w:val="000000"/>
          <w:kern w:val="0"/>
          <w:sz w:val="32"/>
          <w:szCs w:val="32"/>
          <w:lang w:bidi="ar"/>
        </w:rPr>
        <w:t>、建设满意度测评结果</w:t>
      </w:r>
    </w:p>
    <w:tbl>
      <w:tblPr>
        <w:tblStyle w:val="12"/>
        <w:tblW w:w="9765"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5"/>
      </w:tblGrid>
      <w:tr w14:paraId="32AE2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tcPr>
          <w:p w14:paraId="3BE6A10B">
            <w:pPr>
              <w:widowControl/>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lang w:bidi="ar"/>
              </w:rPr>
              <w:t>［说明：请说明参加测评的人员范围、数量，列明各项指标测评满意度的百分比结果和整体测评满意度的百分比结果。</w:t>
            </w:r>
          </w:p>
          <w:p w14:paraId="1EED4035">
            <w:pPr>
              <w:widowControl/>
              <w:jc w:val="left"/>
              <w:rPr>
                <w:rFonts w:hint="eastAsia" w:ascii="楷体" w:hAnsi="楷体" w:eastAsia="楷体" w:cs="楷体"/>
                <w:b/>
                <w:bCs/>
                <w:color w:val="000000"/>
                <w:kern w:val="0"/>
                <w:sz w:val="32"/>
                <w:szCs w:val="32"/>
                <w:lang w:bidi="ar"/>
              </w:rPr>
            </w:pPr>
            <w:r>
              <w:rPr>
                <w:rFonts w:hint="eastAsia" w:ascii="楷体" w:hAnsi="楷体" w:eastAsia="楷体" w:cs="楷体"/>
                <w:b/>
                <w:bCs/>
                <w:color w:val="000000"/>
                <w:kern w:val="0"/>
                <w:sz w:val="32"/>
                <w:szCs w:val="32"/>
                <w:lang w:bidi="ar"/>
              </w:rPr>
              <w:t>测评结果：</w:t>
            </w:r>
          </w:p>
          <w:p w14:paraId="3068AC18">
            <w:pPr>
              <w:widowControl/>
              <w:ind w:firstLine="560" w:firstLineChars="200"/>
              <w:jc w:val="left"/>
              <w:rPr>
                <w:rFonts w:hint="default" w:ascii="楷体" w:hAnsi="楷体" w:eastAsia="楷体" w:cs="楷体"/>
                <w:b/>
                <w:bCs/>
                <w:color w:val="000000"/>
                <w:kern w:val="0"/>
                <w:sz w:val="32"/>
                <w:szCs w:val="32"/>
                <w:lang w:val="en-US" w:eastAsia="zh-CN" w:bidi="ar"/>
              </w:rPr>
            </w:pPr>
            <w:r>
              <w:rPr>
                <w:rFonts w:hint="eastAsia" w:ascii="仿宋_GB2312" w:hAnsi="仿宋_GB2312" w:eastAsia="仿宋_GB2312" w:cs="仿宋_GB2312"/>
                <w:color w:val="000000"/>
                <w:kern w:val="0"/>
                <w:sz w:val="28"/>
                <w:szCs w:val="28"/>
                <w:lang w:val="en-US" w:eastAsia="zh-CN" w:bidi="ar"/>
              </w:rPr>
              <w:t>参加测评的人员为马克思主义学院全体党员，共24人，测评表中7项指标均为非常满意，占比100%，整体测评满意度占比100%。</w:t>
            </w:r>
          </w:p>
          <w:p w14:paraId="65AED870">
            <w:pPr>
              <w:widowControl/>
              <w:jc w:val="left"/>
              <w:rPr>
                <w:rFonts w:ascii="楷体" w:hAnsi="楷体" w:eastAsia="楷体" w:cs="楷体"/>
                <w:b/>
                <w:bCs/>
                <w:color w:val="000000"/>
                <w:kern w:val="0"/>
                <w:sz w:val="32"/>
                <w:szCs w:val="32"/>
                <w:lang w:bidi="ar"/>
              </w:rPr>
            </w:pPr>
          </w:p>
          <w:p w14:paraId="022FD518">
            <w:pPr>
              <w:widowControl/>
              <w:jc w:val="left"/>
              <w:rPr>
                <w:rFonts w:ascii="楷体" w:hAnsi="楷体" w:eastAsia="楷体" w:cs="楷体"/>
                <w:b/>
                <w:bCs/>
                <w:color w:val="000000"/>
                <w:kern w:val="0"/>
                <w:sz w:val="32"/>
                <w:szCs w:val="32"/>
                <w:lang w:bidi="ar"/>
              </w:rPr>
            </w:pPr>
          </w:p>
          <w:p w14:paraId="44FF81DF">
            <w:pPr>
              <w:pStyle w:val="2"/>
              <w:rPr>
                <w:rFonts w:ascii="楷体" w:hAnsi="楷体" w:eastAsia="楷体" w:cs="楷体"/>
                <w:b/>
                <w:bCs/>
                <w:color w:val="000000"/>
                <w:kern w:val="0"/>
                <w:sz w:val="32"/>
                <w:szCs w:val="32"/>
                <w:lang w:bidi="ar"/>
              </w:rPr>
            </w:pPr>
          </w:p>
          <w:p w14:paraId="10AACC93">
            <w:pPr>
              <w:rPr>
                <w:rFonts w:ascii="楷体" w:hAnsi="楷体" w:eastAsia="楷体" w:cs="楷体"/>
                <w:b/>
                <w:bCs/>
                <w:color w:val="000000"/>
                <w:kern w:val="0"/>
                <w:sz w:val="32"/>
                <w:szCs w:val="32"/>
                <w:lang w:bidi="ar"/>
              </w:rPr>
            </w:pPr>
          </w:p>
          <w:p w14:paraId="109D07E3">
            <w:pPr>
              <w:pStyle w:val="2"/>
              <w:rPr>
                <w:rFonts w:ascii="楷体" w:hAnsi="楷体" w:eastAsia="楷体" w:cs="楷体"/>
                <w:b/>
                <w:bCs/>
                <w:color w:val="000000"/>
                <w:kern w:val="0"/>
                <w:sz w:val="32"/>
                <w:szCs w:val="32"/>
                <w:lang w:bidi="ar"/>
              </w:rPr>
            </w:pPr>
          </w:p>
          <w:p w14:paraId="2384F4A9">
            <w:pPr>
              <w:widowControl/>
              <w:jc w:val="left"/>
              <w:rPr>
                <w:rFonts w:ascii="楷体" w:hAnsi="楷体" w:eastAsia="楷体" w:cs="楷体"/>
                <w:b/>
                <w:bCs/>
                <w:color w:val="000000"/>
                <w:kern w:val="0"/>
                <w:sz w:val="32"/>
                <w:szCs w:val="32"/>
                <w:lang w:bidi="ar"/>
              </w:rPr>
            </w:pPr>
          </w:p>
        </w:tc>
      </w:tr>
    </w:tbl>
    <w:p w14:paraId="331E9914">
      <w:pPr>
        <w:widowControl/>
        <w:jc w:val="left"/>
        <w:rPr>
          <w:sz w:val="32"/>
          <w:szCs w:val="32"/>
        </w:rPr>
      </w:pPr>
      <w:bookmarkStart w:id="0" w:name="_GoBack"/>
      <w:bookmarkEnd w:id="0"/>
      <w:r>
        <w:rPr>
          <w:rFonts w:hint="eastAsia" w:ascii="黑体" w:hAnsi="宋体" w:eastAsia="黑体" w:cs="黑体"/>
          <w:color w:val="000000"/>
          <w:kern w:val="0"/>
          <w:sz w:val="32"/>
          <w:szCs w:val="32"/>
          <w:lang w:bidi="ar"/>
        </w:rPr>
        <w:t>四</w:t>
      </w:r>
      <w:r>
        <w:rPr>
          <w:rFonts w:ascii="黑体" w:hAnsi="宋体" w:eastAsia="黑体" w:cs="黑体"/>
          <w:color w:val="000000"/>
          <w:kern w:val="0"/>
          <w:sz w:val="32"/>
          <w:szCs w:val="32"/>
          <w:lang w:bidi="ar"/>
        </w:rPr>
        <w:t>、</w:t>
      </w:r>
      <w:r>
        <w:rPr>
          <w:rFonts w:hint="eastAsia" w:ascii="黑体" w:hAnsi="宋体" w:eastAsia="黑体" w:cs="黑体"/>
          <w:color w:val="000000"/>
          <w:kern w:val="0"/>
          <w:sz w:val="32"/>
          <w:szCs w:val="32"/>
          <w:lang w:bidi="ar"/>
        </w:rPr>
        <w:t>党总支自审</w:t>
      </w:r>
      <w:r>
        <w:rPr>
          <w:rFonts w:ascii="黑体" w:hAnsi="宋体" w:eastAsia="黑体" w:cs="黑体"/>
          <w:color w:val="000000"/>
          <w:kern w:val="0"/>
          <w:sz w:val="32"/>
          <w:szCs w:val="32"/>
          <w:lang w:bidi="ar"/>
        </w:rPr>
        <w:t>意见</w:t>
      </w:r>
    </w:p>
    <w:tbl>
      <w:tblPr>
        <w:tblStyle w:val="12"/>
        <w:tblW w:w="9765" w:type="dxa"/>
        <w:tblInd w:w="-54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65"/>
      </w:tblGrid>
      <w:tr w14:paraId="38661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765" w:type="dxa"/>
            <w:vAlign w:val="center"/>
          </w:tcPr>
          <w:p w14:paraId="02823F6A">
            <w:pPr>
              <w:widowControl/>
              <w:jc w:val="center"/>
              <w:rPr>
                <w:rFonts w:ascii="仿宋_GB2312" w:hAnsi="仿宋_GB2312" w:eastAsia="仿宋_GB2312" w:cs="仿宋_GB2312"/>
                <w:color w:val="000000"/>
                <w:kern w:val="0"/>
                <w:sz w:val="28"/>
                <w:szCs w:val="28"/>
                <w:lang w:bidi="ar"/>
              </w:rPr>
            </w:pPr>
            <w:r>
              <w:rPr>
                <w:rFonts w:hint="eastAsia" w:ascii="黑体" w:hAnsi="黑体" w:eastAsia="黑体" w:cs="黑体"/>
                <w:color w:val="000000"/>
                <w:kern w:val="0"/>
                <w:sz w:val="32"/>
                <w:szCs w:val="32"/>
                <w:lang w:bidi="ar"/>
              </w:rPr>
              <w:t>党总支自审意见</w:t>
            </w:r>
          </w:p>
        </w:tc>
      </w:tr>
      <w:tr w14:paraId="0A3DC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5" w:type="dxa"/>
          </w:tcPr>
          <w:p w14:paraId="756A3A44">
            <w:pPr>
              <w:widowControl/>
              <w:rPr>
                <w:sz w:val="28"/>
                <w:szCs w:val="28"/>
              </w:rPr>
            </w:pPr>
            <w:r>
              <w:rPr>
                <w:rFonts w:ascii="仿宋" w:hAnsi="仿宋" w:eastAsia="仿宋" w:cs="仿宋"/>
                <w:color w:val="000000"/>
                <w:kern w:val="0"/>
                <w:sz w:val="32"/>
                <w:szCs w:val="32"/>
                <w:lang w:bidi="ar"/>
              </w:rPr>
              <w:t>［说明：请征询</w:t>
            </w:r>
            <w:r>
              <w:rPr>
                <w:rFonts w:hint="eastAsia" w:ascii="仿宋" w:hAnsi="仿宋" w:eastAsia="仿宋" w:cs="仿宋"/>
                <w:color w:val="000000"/>
                <w:kern w:val="0"/>
                <w:sz w:val="32"/>
                <w:szCs w:val="32"/>
                <w:lang w:bidi="ar"/>
              </w:rPr>
              <w:t>学院</w:t>
            </w:r>
            <w:r>
              <w:rPr>
                <w:rFonts w:ascii="仿宋" w:hAnsi="仿宋" w:eastAsia="仿宋" w:cs="仿宋"/>
                <w:color w:val="000000"/>
                <w:kern w:val="0"/>
                <w:sz w:val="32"/>
                <w:szCs w:val="32"/>
                <w:lang w:bidi="ar"/>
              </w:rPr>
              <w:t>纪检监察</w:t>
            </w:r>
            <w:r>
              <w:rPr>
                <w:rFonts w:hint="eastAsia" w:ascii="仿宋" w:hAnsi="仿宋" w:eastAsia="仿宋" w:cs="仿宋"/>
                <w:color w:val="000000"/>
                <w:kern w:val="0"/>
                <w:sz w:val="32"/>
                <w:szCs w:val="32"/>
                <w:lang w:bidi="ar"/>
              </w:rPr>
              <w:t>、教学等</w:t>
            </w:r>
            <w:r>
              <w:rPr>
                <w:rFonts w:ascii="仿宋" w:hAnsi="仿宋" w:eastAsia="仿宋" w:cs="仿宋"/>
                <w:color w:val="000000"/>
                <w:kern w:val="0"/>
                <w:sz w:val="32"/>
                <w:szCs w:val="32"/>
                <w:lang w:bidi="ar"/>
              </w:rPr>
              <w:t>部门意见后，写明建设期是否出现负面清单所</w:t>
            </w:r>
            <w:r>
              <w:rPr>
                <w:rFonts w:hint="eastAsia" w:ascii="仿宋" w:hAnsi="仿宋" w:eastAsia="仿宋" w:cs="仿宋"/>
                <w:color w:val="000000"/>
                <w:kern w:val="0"/>
                <w:sz w:val="32"/>
                <w:szCs w:val="32"/>
                <w:lang w:bidi="ar"/>
              </w:rPr>
              <w:t>列事项，作出总体评价，提出自审意见。</w:t>
            </w:r>
            <w:r>
              <w:rPr>
                <w:rFonts w:hint="eastAsia" w:ascii="仿宋" w:hAnsi="仿宋" w:eastAsia="仿宋" w:cs="仿宋"/>
                <w:b/>
                <w:bCs/>
                <w:color w:val="000000"/>
                <w:kern w:val="0"/>
                <w:sz w:val="32"/>
                <w:szCs w:val="32"/>
                <w:lang w:bidi="ar"/>
              </w:rPr>
              <w:t>如“暂缓通过”或“不予通过”，需注明具体原因］</w:t>
            </w:r>
            <w:r>
              <w:rPr>
                <w:rFonts w:hint="eastAsia" w:ascii="仿宋" w:hAnsi="仿宋" w:eastAsia="仿宋" w:cs="仿宋"/>
                <w:color w:val="000000"/>
                <w:kern w:val="0"/>
                <w:sz w:val="28"/>
                <w:szCs w:val="28"/>
                <w:lang w:bidi="ar"/>
              </w:rPr>
              <w:t xml:space="preserve"> </w:t>
            </w:r>
          </w:p>
          <w:p w14:paraId="28F6051C">
            <w:pPr>
              <w:widowControl/>
              <w:jc w:val="left"/>
            </w:pPr>
            <w:r>
              <w:rPr>
                <w:rFonts w:hint="eastAsia" w:ascii="楷体" w:hAnsi="楷体" w:eastAsia="楷体" w:cs="楷体"/>
                <w:b/>
                <w:bCs/>
                <w:color w:val="000000"/>
                <w:kern w:val="0"/>
                <w:sz w:val="32"/>
                <w:szCs w:val="32"/>
                <w:lang w:bidi="ar"/>
              </w:rPr>
              <w:t>总体评价：</w:t>
            </w:r>
            <w:r>
              <w:rPr>
                <w:rFonts w:ascii="华文楷体" w:hAnsi="华文楷体" w:eastAsia="华文楷体" w:cs="华文楷体"/>
                <w:b/>
                <w:bCs/>
                <w:color w:val="000000"/>
                <w:kern w:val="0"/>
                <w:sz w:val="24"/>
                <w:lang w:bidi="ar"/>
              </w:rPr>
              <w:t xml:space="preserve"> </w:t>
            </w:r>
          </w:p>
          <w:p w14:paraId="5659F723">
            <w:pPr>
              <w:widowControl/>
              <w:jc w:val="left"/>
              <w:rPr>
                <w:rFonts w:ascii="黑体" w:hAnsi="宋体" w:eastAsia="黑体" w:cs="黑体"/>
                <w:color w:val="000000"/>
                <w:kern w:val="0"/>
                <w:sz w:val="28"/>
                <w:szCs w:val="28"/>
                <w:lang w:bidi="ar"/>
              </w:rPr>
            </w:pPr>
          </w:p>
          <w:p w14:paraId="2048D19D">
            <w:pPr>
              <w:widowControl/>
              <w:jc w:val="left"/>
              <w:rPr>
                <w:rFonts w:ascii="黑体" w:hAnsi="宋体" w:eastAsia="黑体" w:cs="黑体"/>
                <w:color w:val="000000"/>
                <w:kern w:val="0"/>
                <w:sz w:val="28"/>
                <w:szCs w:val="28"/>
                <w:lang w:bidi="ar"/>
              </w:rPr>
            </w:pPr>
          </w:p>
          <w:p w14:paraId="30A6C5E0">
            <w:pPr>
              <w:widowControl/>
              <w:jc w:val="left"/>
              <w:rPr>
                <w:rFonts w:ascii="黑体" w:hAnsi="宋体" w:eastAsia="黑体" w:cs="黑体"/>
                <w:color w:val="000000"/>
                <w:kern w:val="0"/>
                <w:sz w:val="28"/>
                <w:szCs w:val="28"/>
                <w:lang w:bidi="ar"/>
              </w:rPr>
            </w:pPr>
          </w:p>
          <w:p w14:paraId="7142FA11">
            <w:pPr>
              <w:widowControl/>
              <w:jc w:val="left"/>
              <w:rPr>
                <w:rFonts w:ascii="黑体" w:hAnsi="宋体" w:eastAsia="黑体" w:cs="黑体"/>
                <w:color w:val="000000"/>
                <w:kern w:val="0"/>
                <w:sz w:val="28"/>
                <w:szCs w:val="28"/>
                <w:lang w:bidi="ar"/>
              </w:rPr>
            </w:pPr>
          </w:p>
          <w:p w14:paraId="1E766C8E">
            <w:pPr>
              <w:widowControl/>
              <w:jc w:val="left"/>
              <w:rPr>
                <w:rFonts w:ascii="黑体" w:hAnsi="宋体" w:eastAsia="黑体" w:cs="黑体"/>
                <w:color w:val="000000"/>
                <w:kern w:val="0"/>
                <w:sz w:val="28"/>
                <w:szCs w:val="28"/>
                <w:lang w:bidi="ar"/>
              </w:rPr>
            </w:pPr>
          </w:p>
          <w:p w14:paraId="2A32E024">
            <w:pPr>
              <w:widowControl/>
              <w:jc w:val="left"/>
              <w:rPr>
                <w:rFonts w:ascii="黑体" w:hAnsi="宋体" w:eastAsia="黑体" w:cs="黑体"/>
                <w:color w:val="000000"/>
                <w:kern w:val="0"/>
                <w:sz w:val="28"/>
                <w:szCs w:val="28"/>
                <w:lang w:bidi="ar"/>
              </w:rPr>
            </w:pPr>
          </w:p>
          <w:p w14:paraId="3CD2B4AA">
            <w:pPr>
              <w:widowControl/>
              <w:jc w:val="left"/>
              <w:rPr>
                <w:rFonts w:ascii="黑体" w:hAnsi="宋体" w:eastAsia="黑体" w:cs="黑体"/>
                <w:color w:val="000000"/>
                <w:kern w:val="0"/>
                <w:sz w:val="28"/>
                <w:szCs w:val="28"/>
                <w:lang w:bidi="ar"/>
              </w:rPr>
            </w:pPr>
          </w:p>
          <w:p w14:paraId="6B836E61">
            <w:pPr>
              <w:widowControl/>
              <w:jc w:val="left"/>
              <w:rPr>
                <w:rFonts w:ascii="黑体" w:hAnsi="宋体" w:eastAsia="黑体" w:cs="黑体"/>
                <w:color w:val="000000"/>
                <w:kern w:val="0"/>
                <w:sz w:val="28"/>
                <w:szCs w:val="28"/>
                <w:lang w:bidi="ar"/>
              </w:rPr>
            </w:pPr>
          </w:p>
          <w:p w14:paraId="11DCF5A8">
            <w:pPr>
              <w:widowControl/>
              <w:jc w:val="left"/>
              <w:rPr>
                <w:rFonts w:ascii="楷体" w:hAnsi="楷体" w:eastAsia="楷体" w:cs="楷体"/>
                <w:b/>
                <w:bCs/>
                <w:color w:val="000000"/>
                <w:kern w:val="0"/>
                <w:sz w:val="32"/>
                <w:szCs w:val="32"/>
                <w:lang w:bidi="ar"/>
              </w:rPr>
            </w:pPr>
            <w:r>
              <w:rPr>
                <w:rFonts w:hint="eastAsia" w:ascii="楷体" w:hAnsi="楷体" w:eastAsia="楷体" w:cs="楷体"/>
                <w:b/>
                <w:bCs/>
                <w:color w:val="000000"/>
                <w:kern w:val="0"/>
                <w:sz w:val="32"/>
                <w:szCs w:val="32"/>
                <w:lang w:bidi="ar"/>
              </w:rPr>
              <w:t>I  通过验收  I  暂缓通过  I  不予通过</w:t>
            </w:r>
          </w:p>
          <w:p w14:paraId="59C29A83">
            <w:pPr>
              <w:widowControl/>
              <w:jc w:val="left"/>
              <w:rPr>
                <w:rFonts w:ascii="楷体" w:hAnsi="楷体" w:eastAsia="楷体" w:cs="楷体"/>
                <w:b/>
                <w:bCs/>
                <w:color w:val="000000"/>
                <w:kern w:val="0"/>
                <w:sz w:val="32"/>
                <w:szCs w:val="32"/>
                <w:lang w:bidi="ar"/>
              </w:rPr>
            </w:pPr>
          </w:p>
          <w:p w14:paraId="0A8D61D1">
            <w:pPr>
              <w:widowControl/>
              <w:jc w:val="left"/>
              <w:rPr>
                <w:rFonts w:ascii="楷体" w:hAnsi="楷体" w:eastAsia="楷体" w:cs="楷体"/>
                <w:b/>
                <w:bCs/>
                <w:color w:val="000000"/>
                <w:kern w:val="0"/>
                <w:sz w:val="32"/>
                <w:szCs w:val="32"/>
                <w:lang w:bidi="ar"/>
              </w:rPr>
            </w:pPr>
          </w:p>
          <w:p w14:paraId="7610F201">
            <w:pPr>
              <w:widowControl/>
              <w:jc w:val="left"/>
              <w:rPr>
                <w:rFonts w:ascii="楷体" w:hAnsi="楷体" w:eastAsia="楷体" w:cs="楷体"/>
                <w:b/>
                <w:bCs/>
                <w:color w:val="000000"/>
                <w:kern w:val="0"/>
                <w:sz w:val="32"/>
                <w:szCs w:val="32"/>
                <w:lang w:bidi="ar"/>
              </w:rPr>
            </w:pPr>
          </w:p>
          <w:p w14:paraId="252D39AF">
            <w:pPr>
              <w:widowControl/>
              <w:jc w:val="left"/>
              <w:rPr>
                <w:rFonts w:ascii="楷体" w:hAnsi="楷体" w:eastAsia="楷体" w:cs="楷体"/>
                <w:b/>
                <w:bCs/>
                <w:color w:val="000000"/>
                <w:kern w:val="0"/>
                <w:sz w:val="32"/>
                <w:szCs w:val="32"/>
                <w:lang w:bidi="ar"/>
              </w:rPr>
            </w:pPr>
          </w:p>
          <w:p w14:paraId="2A661CFC">
            <w:pPr>
              <w:widowControl/>
              <w:ind w:firstLine="1600" w:firstLineChars="500"/>
              <w:jc w:val="left"/>
              <w:rPr>
                <w:rFonts w:ascii="仿宋_GB2312" w:hAnsi="仿宋_GB2312" w:eastAsia="仿宋_GB2312" w:cs="仿宋_GB2312"/>
                <w:color w:val="000000"/>
                <w:kern w:val="0"/>
                <w:sz w:val="32"/>
                <w:szCs w:val="32"/>
                <w:lang w:bidi="ar"/>
              </w:rPr>
            </w:pPr>
            <w:r>
              <w:rPr>
                <w:rFonts w:hint="eastAsia" w:ascii="仿宋_GB2312" w:hAnsi="仿宋_GB2312" w:eastAsia="仿宋_GB2312" w:cs="仿宋_GB2312"/>
                <w:color w:val="000000"/>
                <w:kern w:val="0"/>
                <w:sz w:val="32"/>
                <w:szCs w:val="32"/>
                <w:lang w:bidi="ar"/>
              </w:rPr>
              <w:t>党总支书记（签章）：         （加盖公章）</w:t>
            </w:r>
          </w:p>
          <w:p w14:paraId="72C471EF">
            <w:pPr>
              <w:widowControl/>
              <w:ind w:firstLine="2560" w:firstLineChars="800"/>
              <w:jc w:val="left"/>
              <w:rPr>
                <w:rFonts w:ascii="黑体" w:hAnsi="宋体" w:eastAsia="黑体" w:cs="黑体"/>
                <w:color w:val="000000"/>
                <w:kern w:val="0"/>
                <w:sz w:val="28"/>
                <w:szCs w:val="28"/>
                <w:lang w:bidi="ar"/>
              </w:rPr>
            </w:pPr>
            <w:r>
              <w:rPr>
                <w:rFonts w:hint="eastAsia" w:ascii="仿宋_GB2312" w:hAnsi="仿宋_GB2312" w:eastAsia="仿宋_GB2312" w:cs="仿宋_GB2312"/>
                <w:color w:val="000000"/>
                <w:kern w:val="0"/>
                <w:sz w:val="32"/>
                <w:szCs w:val="32"/>
                <w:lang w:bidi="ar"/>
              </w:rPr>
              <w:t xml:space="preserve">                      年    月    日</w:t>
            </w:r>
          </w:p>
        </w:tc>
      </w:tr>
    </w:tbl>
    <w:p w14:paraId="72584210">
      <w:pPr>
        <w:pStyle w:val="10"/>
        <w:ind w:left="0" w:leftChars="0" w:firstLine="0" w:firstLineChars="0"/>
      </w:pPr>
    </w:p>
    <w:sectPr>
      <w:pgSz w:w="11906" w:h="16838"/>
      <w:pgMar w:top="1440" w:right="1803" w:bottom="1440" w:left="1803" w:header="851" w:footer="992" w:gutter="0"/>
      <w:pgNumType w:fmt="numberInDash"/>
      <w:cols w:space="72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Wingdings 2">
    <w:panose1 w:val="05020102010507070707"/>
    <w:charset w:val="02"/>
    <w:family w:val="roman"/>
    <w:pitch w:val="default"/>
    <w:sig w:usb0="00000000" w:usb1="00000000" w:usb2="00000000" w:usb3="00000000" w:csb0="80000000" w:csb1="00000000"/>
  </w:font>
  <w:font w:name="方正小标宋简体">
    <w:panose1 w:val="03000509000000000000"/>
    <w:charset w:val="86"/>
    <w:family w:val="script"/>
    <w:pitch w:val="default"/>
    <w:sig w:usb0="00000001" w:usb1="080E0000" w:usb2="00000000" w:usb3="00000000" w:csb0="00040000" w:csb1="00000000"/>
  </w:font>
  <w:font w:name="华文楷体">
    <w:panose1 w:val="02010600040101010101"/>
    <w:charset w:val="86"/>
    <w:family w:val="auto"/>
    <w:pitch w:val="default"/>
    <w:sig w:usb0="00000287" w:usb1="080F0000" w:usb2="00000000" w:usb3="00000000" w:csb0="0004009F" w:csb1="DFD7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D6ADB8">
    <w:pPr>
      <w:pStyle w:val="7"/>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AE71CB">
                          <w:pPr>
                            <w:pStyle w:val="7"/>
                            <w:rPr>
                              <w:rFonts w:ascii="宋体" w:hAnsi="宋体" w:eastAsia="宋体"/>
                              <w:sz w:val="32"/>
                              <w:szCs w:val="30"/>
                            </w:rPr>
                          </w:pPr>
                          <w:r>
                            <w:rPr>
                              <w:rFonts w:hint="eastAsia" w:ascii="宋体" w:hAnsi="宋体" w:eastAsia="宋体" w:cs="仿宋_GB2312"/>
                              <w:sz w:val="28"/>
                            </w:rPr>
                            <w:fldChar w:fldCharType="begin"/>
                          </w:r>
                          <w:r>
                            <w:rPr>
                              <w:rFonts w:hint="eastAsia" w:ascii="宋体" w:hAnsi="宋体" w:eastAsia="宋体" w:cs="仿宋_GB2312"/>
                              <w:sz w:val="28"/>
                            </w:rPr>
                            <w:instrText xml:space="preserve"> PAGE  \* MERGEFORMAT </w:instrText>
                          </w:r>
                          <w:r>
                            <w:rPr>
                              <w:rFonts w:hint="eastAsia" w:ascii="宋体" w:hAnsi="宋体" w:eastAsia="宋体" w:cs="仿宋_GB2312"/>
                              <w:sz w:val="28"/>
                            </w:rPr>
                            <w:fldChar w:fldCharType="separate"/>
                          </w:r>
                          <w:r>
                            <w:rPr>
                              <w:rFonts w:hint="eastAsia" w:ascii="宋体" w:hAnsi="宋体" w:eastAsia="宋体" w:cs="仿宋_GB2312"/>
                              <w:sz w:val="28"/>
                            </w:rPr>
                            <w:t>1</w:t>
                          </w:r>
                          <w:r>
                            <w:rPr>
                              <w:rFonts w:hint="eastAsia" w:ascii="宋体" w:hAnsi="宋体" w:eastAsia="宋体" w:cs="仿宋_GB2312"/>
                              <w:sz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61AE71CB">
                    <w:pPr>
                      <w:pStyle w:val="7"/>
                      <w:rPr>
                        <w:rFonts w:ascii="宋体" w:hAnsi="宋体" w:eastAsia="宋体"/>
                        <w:sz w:val="32"/>
                        <w:szCs w:val="30"/>
                      </w:rPr>
                    </w:pPr>
                    <w:r>
                      <w:rPr>
                        <w:rFonts w:hint="eastAsia" w:ascii="宋体" w:hAnsi="宋体" w:eastAsia="宋体" w:cs="仿宋_GB2312"/>
                        <w:sz w:val="28"/>
                      </w:rPr>
                      <w:fldChar w:fldCharType="begin"/>
                    </w:r>
                    <w:r>
                      <w:rPr>
                        <w:rFonts w:hint="eastAsia" w:ascii="宋体" w:hAnsi="宋体" w:eastAsia="宋体" w:cs="仿宋_GB2312"/>
                        <w:sz w:val="28"/>
                      </w:rPr>
                      <w:instrText xml:space="preserve"> PAGE  \* MERGEFORMAT </w:instrText>
                    </w:r>
                    <w:r>
                      <w:rPr>
                        <w:rFonts w:hint="eastAsia" w:ascii="宋体" w:hAnsi="宋体" w:eastAsia="宋体" w:cs="仿宋_GB2312"/>
                        <w:sz w:val="28"/>
                      </w:rPr>
                      <w:fldChar w:fldCharType="separate"/>
                    </w:r>
                    <w:r>
                      <w:rPr>
                        <w:rFonts w:hint="eastAsia" w:ascii="宋体" w:hAnsi="宋体" w:eastAsia="宋体" w:cs="仿宋_GB2312"/>
                        <w:sz w:val="28"/>
                      </w:rPr>
                      <w:t>1</w:t>
                    </w:r>
                    <w:r>
                      <w:rPr>
                        <w:rFonts w:hint="eastAsia" w:ascii="宋体" w:hAnsi="宋体" w:eastAsia="宋体" w:cs="仿宋_GB2312"/>
                        <w:sz w:val="28"/>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393586684"/>
      <w:docPartObj>
        <w:docPartGallery w:val="autotext"/>
      </w:docPartObj>
    </w:sdtPr>
    <w:sdtEndPr>
      <w:rPr>
        <w:rFonts w:ascii="宋体" w:hAnsi="宋体" w:eastAsia="宋体"/>
        <w:sz w:val="28"/>
      </w:rPr>
    </w:sdtEndPr>
    <w:sdtContent>
      <w:p w14:paraId="633714A4">
        <w:pPr>
          <w:pStyle w:val="7"/>
          <w:rPr>
            <w:rFonts w:ascii="宋体" w:hAnsi="宋体" w:eastAsia="宋体"/>
            <w:sz w:val="28"/>
          </w:rPr>
        </w:pPr>
        <w:r>
          <w:rPr>
            <w:rFonts w:ascii="宋体" w:hAnsi="宋体" w:eastAsia="宋体"/>
            <w:sz w:val="28"/>
          </w:rPr>
          <w:fldChar w:fldCharType="begin"/>
        </w:r>
        <w:r>
          <w:rPr>
            <w:rFonts w:ascii="宋体" w:hAnsi="宋体" w:eastAsia="宋体"/>
            <w:sz w:val="28"/>
          </w:rPr>
          <w:instrText xml:space="preserve">PAGE   \* MERGEFORMAT</w:instrText>
        </w:r>
        <w:r>
          <w:rPr>
            <w:rFonts w:ascii="宋体" w:hAnsi="宋体" w:eastAsia="宋体"/>
            <w:sz w:val="28"/>
          </w:rPr>
          <w:fldChar w:fldCharType="separate"/>
        </w:r>
        <w:r>
          <w:rPr>
            <w:rFonts w:ascii="宋体" w:hAnsi="宋体" w:eastAsia="宋体"/>
            <w:sz w:val="28"/>
            <w:lang w:val="zh-CN"/>
          </w:rPr>
          <w:t>2</w:t>
        </w:r>
        <w:r>
          <w:rPr>
            <w:rFonts w:ascii="宋体" w:hAnsi="宋体" w:eastAsia="宋体"/>
            <w:sz w:val="28"/>
          </w:rPr>
          <w:fldChar w:fldCharType="end"/>
        </w:r>
      </w:p>
    </w:sdtContent>
  </w:sdt>
  <w:p w14:paraId="3499F87C">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U4YTMzNDJmMTMzNTZmZGNhM2NlMGM4NjkxZmQ1OTkifQ=="/>
  </w:docVars>
  <w:rsids>
    <w:rsidRoot w:val="39280F4E"/>
    <w:rsid w:val="00012DDF"/>
    <w:rsid w:val="00047010"/>
    <w:rsid w:val="00086DEF"/>
    <w:rsid w:val="00097D17"/>
    <w:rsid w:val="000A1D07"/>
    <w:rsid w:val="000E0747"/>
    <w:rsid w:val="000E47E3"/>
    <w:rsid w:val="000F27F7"/>
    <w:rsid w:val="00154E78"/>
    <w:rsid w:val="00285264"/>
    <w:rsid w:val="00286872"/>
    <w:rsid w:val="002C1251"/>
    <w:rsid w:val="002D238C"/>
    <w:rsid w:val="003B47DF"/>
    <w:rsid w:val="003E2EE9"/>
    <w:rsid w:val="003F69B2"/>
    <w:rsid w:val="004276D2"/>
    <w:rsid w:val="00471CC8"/>
    <w:rsid w:val="00561432"/>
    <w:rsid w:val="00586238"/>
    <w:rsid w:val="00686C2F"/>
    <w:rsid w:val="00713A7F"/>
    <w:rsid w:val="007A1B22"/>
    <w:rsid w:val="007A51B4"/>
    <w:rsid w:val="007C5111"/>
    <w:rsid w:val="00861C56"/>
    <w:rsid w:val="00862C56"/>
    <w:rsid w:val="0088467F"/>
    <w:rsid w:val="0090709E"/>
    <w:rsid w:val="00926F7C"/>
    <w:rsid w:val="009339B2"/>
    <w:rsid w:val="0094044E"/>
    <w:rsid w:val="00982A55"/>
    <w:rsid w:val="00A85312"/>
    <w:rsid w:val="00B029ED"/>
    <w:rsid w:val="00B86169"/>
    <w:rsid w:val="00BA2D75"/>
    <w:rsid w:val="00C54131"/>
    <w:rsid w:val="00C54964"/>
    <w:rsid w:val="00C80A60"/>
    <w:rsid w:val="00D22555"/>
    <w:rsid w:val="00D70A09"/>
    <w:rsid w:val="00D8636F"/>
    <w:rsid w:val="00DD375C"/>
    <w:rsid w:val="00E07044"/>
    <w:rsid w:val="00E44C27"/>
    <w:rsid w:val="00F7176C"/>
    <w:rsid w:val="03661A20"/>
    <w:rsid w:val="03FC09C3"/>
    <w:rsid w:val="05780A0D"/>
    <w:rsid w:val="058A5E9A"/>
    <w:rsid w:val="05C27E71"/>
    <w:rsid w:val="07F2740C"/>
    <w:rsid w:val="08925E3D"/>
    <w:rsid w:val="09491BC8"/>
    <w:rsid w:val="097A422E"/>
    <w:rsid w:val="09945539"/>
    <w:rsid w:val="09C50775"/>
    <w:rsid w:val="0AE61DC4"/>
    <w:rsid w:val="0B466290"/>
    <w:rsid w:val="0BDA2180"/>
    <w:rsid w:val="0CCA2506"/>
    <w:rsid w:val="0DFA16E3"/>
    <w:rsid w:val="0EA24500"/>
    <w:rsid w:val="0FE47920"/>
    <w:rsid w:val="11D471CF"/>
    <w:rsid w:val="126857B5"/>
    <w:rsid w:val="12C05B8D"/>
    <w:rsid w:val="12D15108"/>
    <w:rsid w:val="12E36BE9"/>
    <w:rsid w:val="13A72959"/>
    <w:rsid w:val="14CB3DD9"/>
    <w:rsid w:val="151C5828"/>
    <w:rsid w:val="16073568"/>
    <w:rsid w:val="16221D47"/>
    <w:rsid w:val="16781D3E"/>
    <w:rsid w:val="17334527"/>
    <w:rsid w:val="18DB545D"/>
    <w:rsid w:val="19265A82"/>
    <w:rsid w:val="193A4EAC"/>
    <w:rsid w:val="196C54A7"/>
    <w:rsid w:val="19D16513"/>
    <w:rsid w:val="1A240213"/>
    <w:rsid w:val="1C2B1F09"/>
    <w:rsid w:val="1CA218C3"/>
    <w:rsid w:val="1D0E5A5E"/>
    <w:rsid w:val="1D65021B"/>
    <w:rsid w:val="1D9172DB"/>
    <w:rsid w:val="1DBE44DB"/>
    <w:rsid w:val="1EB30F29"/>
    <w:rsid w:val="20370B56"/>
    <w:rsid w:val="205B3A5A"/>
    <w:rsid w:val="20C77B4A"/>
    <w:rsid w:val="24FB4266"/>
    <w:rsid w:val="279250C6"/>
    <w:rsid w:val="279D3215"/>
    <w:rsid w:val="28442E5C"/>
    <w:rsid w:val="28636381"/>
    <w:rsid w:val="28642123"/>
    <w:rsid w:val="28DC615D"/>
    <w:rsid w:val="2A297180"/>
    <w:rsid w:val="2ABC7FF4"/>
    <w:rsid w:val="2B155D63"/>
    <w:rsid w:val="2C6B5D70"/>
    <w:rsid w:val="2E2465DC"/>
    <w:rsid w:val="2E324799"/>
    <w:rsid w:val="2FCE2CA3"/>
    <w:rsid w:val="30C16364"/>
    <w:rsid w:val="327D767D"/>
    <w:rsid w:val="352944D8"/>
    <w:rsid w:val="362E0C8E"/>
    <w:rsid w:val="36B349A1"/>
    <w:rsid w:val="39280F4E"/>
    <w:rsid w:val="3934169D"/>
    <w:rsid w:val="39CC2FA3"/>
    <w:rsid w:val="3A113462"/>
    <w:rsid w:val="3A6A35C8"/>
    <w:rsid w:val="3A744447"/>
    <w:rsid w:val="3B245E6D"/>
    <w:rsid w:val="3B255741"/>
    <w:rsid w:val="3B54269E"/>
    <w:rsid w:val="3BAB6F4C"/>
    <w:rsid w:val="3C2D58B1"/>
    <w:rsid w:val="3F04431E"/>
    <w:rsid w:val="3F417E71"/>
    <w:rsid w:val="3FDB0AC5"/>
    <w:rsid w:val="402B1A4C"/>
    <w:rsid w:val="406632A2"/>
    <w:rsid w:val="40B06B49"/>
    <w:rsid w:val="41144EDB"/>
    <w:rsid w:val="41344930"/>
    <w:rsid w:val="414B61E9"/>
    <w:rsid w:val="41D8371C"/>
    <w:rsid w:val="42622101"/>
    <w:rsid w:val="42976F25"/>
    <w:rsid w:val="42B86E9B"/>
    <w:rsid w:val="433B31B7"/>
    <w:rsid w:val="43621D5B"/>
    <w:rsid w:val="43C04259"/>
    <w:rsid w:val="441540D5"/>
    <w:rsid w:val="44230062"/>
    <w:rsid w:val="45457B2E"/>
    <w:rsid w:val="458614D2"/>
    <w:rsid w:val="462F1B6A"/>
    <w:rsid w:val="466022B3"/>
    <w:rsid w:val="47092147"/>
    <w:rsid w:val="47E2004F"/>
    <w:rsid w:val="4860425D"/>
    <w:rsid w:val="49B1358E"/>
    <w:rsid w:val="49F977A4"/>
    <w:rsid w:val="4A424D13"/>
    <w:rsid w:val="4A961FED"/>
    <w:rsid w:val="4B2D2165"/>
    <w:rsid w:val="4B7A73E4"/>
    <w:rsid w:val="4C893C29"/>
    <w:rsid w:val="4C942727"/>
    <w:rsid w:val="4D2F41FE"/>
    <w:rsid w:val="4E3A0EEE"/>
    <w:rsid w:val="50812FC2"/>
    <w:rsid w:val="53550347"/>
    <w:rsid w:val="53607807"/>
    <w:rsid w:val="55376D1F"/>
    <w:rsid w:val="556E230B"/>
    <w:rsid w:val="5626193E"/>
    <w:rsid w:val="56284D0F"/>
    <w:rsid w:val="565D002E"/>
    <w:rsid w:val="56AF6ADB"/>
    <w:rsid w:val="56D03A41"/>
    <w:rsid w:val="5796326A"/>
    <w:rsid w:val="59204DD3"/>
    <w:rsid w:val="59995821"/>
    <w:rsid w:val="59CC1752"/>
    <w:rsid w:val="5A2055FA"/>
    <w:rsid w:val="5A541C17"/>
    <w:rsid w:val="5A5A4FD9"/>
    <w:rsid w:val="5BA00C21"/>
    <w:rsid w:val="5BC579D2"/>
    <w:rsid w:val="5D373386"/>
    <w:rsid w:val="5E361890"/>
    <w:rsid w:val="5E41259F"/>
    <w:rsid w:val="5F864151"/>
    <w:rsid w:val="5FF86186"/>
    <w:rsid w:val="61393311"/>
    <w:rsid w:val="61FF321E"/>
    <w:rsid w:val="62AE5E99"/>
    <w:rsid w:val="62C24799"/>
    <w:rsid w:val="630929E6"/>
    <w:rsid w:val="63957059"/>
    <w:rsid w:val="64243F39"/>
    <w:rsid w:val="644B2BC0"/>
    <w:rsid w:val="658F596C"/>
    <w:rsid w:val="65C0767F"/>
    <w:rsid w:val="660364FC"/>
    <w:rsid w:val="67CF1444"/>
    <w:rsid w:val="68040908"/>
    <w:rsid w:val="6922353D"/>
    <w:rsid w:val="69A9560C"/>
    <w:rsid w:val="6C517895"/>
    <w:rsid w:val="6C6E0447"/>
    <w:rsid w:val="6E8021C5"/>
    <w:rsid w:val="6F502086"/>
    <w:rsid w:val="712E63F7"/>
    <w:rsid w:val="7265001B"/>
    <w:rsid w:val="726F6CC7"/>
    <w:rsid w:val="727E1D8F"/>
    <w:rsid w:val="72F2308C"/>
    <w:rsid w:val="73F761C2"/>
    <w:rsid w:val="757354C5"/>
    <w:rsid w:val="769852AF"/>
    <w:rsid w:val="774E334F"/>
    <w:rsid w:val="78F87A16"/>
    <w:rsid w:val="7904109F"/>
    <w:rsid w:val="796541E5"/>
    <w:rsid w:val="79B252DA"/>
    <w:rsid w:val="7A88193A"/>
    <w:rsid w:val="7B6820FD"/>
    <w:rsid w:val="7BC63DFB"/>
    <w:rsid w:val="7C484810"/>
    <w:rsid w:val="7D04348A"/>
    <w:rsid w:val="7E493C7B"/>
    <w:rsid w:val="7E4B683A"/>
    <w:rsid w:val="7EDF740C"/>
    <w:rsid w:val="7F5422E1"/>
    <w:rsid w:val="7FA31D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10" w:after="10" w:line="240" w:lineRule="auto"/>
      <w:ind w:firstLine="400" w:firstLineChars="200"/>
      <w:jc w:val="left"/>
      <w:outlineLvl w:val="1"/>
    </w:pPr>
    <w:rPr>
      <w:rFonts w:ascii="等线 Light" w:hAnsi="等线 Light" w:eastAsia="楷体_GB2312" w:cs="Times New Roman"/>
      <w:b/>
      <w:bCs/>
      <w:sz w:val="24"/>
      <w:szCs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1"/>
    <w:pPr>
      <w:ind w:left="528"/>
    </w:pPr>
    <w:rPr>
      <w:rFonts w:ascii="仿宋_GB2312" w:hAnsi="仿宋_GB2312" w:eastAsia="仿宋_GB2312" w:cs="仿宋_GB2312"/>
      <w:sz w:val="32"/>
      <w:szCs w:val="32"/>
      <w:lang w:val="zh-CN" w:bidi="zh-CN"/>
    </w:rPr>
  </w:style>
  <w:style w:type="paragraph" w:styleId="5">
    <w:name w:val="Body Text Indent"/>
    <w:basedOn w:val="1"/>
    <w:unhideWhenUsed/>
    <w:qFormat/>
    <w:uiPriority w:val="99"/>
    <w:pPr>
      <w:spacing w:after="120"/>
      <w:ind w:left="420" w:leftChars="200"/>
    </w:pPr>
  </w:style>
  <w:style w:type="paragraph" w:styleId="6">
    <w:name w:val="Balloon Text"/>
    <w:basedOn w:val="1"/>
    <w:link w:val="16"/>
    <w:qFormat/>
    <w:uiPriority w:val="0"/>
    <w:rPr>
      <w:sz w:val="18"/>
      <w:szCs w:val="18"/>
    </w:rPr>
  </w:style>
  <w:style w:type="paragraph" w:styleId="7">
    <w:name w:val="footer"/>
    <w:basedOn w:val="1"/>
    <w:link w:val="15"/>
    <w:qFormat/>
    <w:uiPriority w:val="99"/>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9">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10">
    <w:name w:val="Body Text First Indent 2"/>
    <w:basedOn w:val="5"/>
    <w:unhideWhenUsed/>
    <w:qFormat/>
    <w:uiPriority w:val="99"/>
    <w:pPr>
      <w:ind w:firstLine="420" w:firstLineChars="200"/>
    </w:p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annotation reference"/>
    <w:unhideWhenUsed/>
    <w:qFormat/>
    <w:uiPriority w:val="99"/>
    <w:rPr>
      <w:sz w:val="21"/>
      <w:szCs w:val="21"/>
    </w:rPr>
  </w:style>
  <w:style w:type="character" w:customStyle="1" w:styleId="15">
    <w:name w:val="页脚 字符"/>
    <w:basedOn w:val="13"/>
    <w:link w:val="7"/>
    <w:qFormat/>
    <w:uiPriority w:val="99"/>
    <w:rPr>
      <w:rFonts w:asciiTheme="minorHAnsi" w:hAnsiTheme="minorHAnsi" w:eastAsiaTheme="minorEastAsia" w:cstheme="minorBidi"/>
      <w:kern w:val="2"/>
      <w:sz w:val="18"/>
      <w:szCs w:val="24"/>
    </w:rPr>
  </w:style>
  <w:style w:type="character" w:customStyle="1" w:styleId="16">
    <w:name w:val="批注框文本 字符"/>
    <w:basedOn w:val="13"/>
    <w:link w:val="6"/>
    <w:qFormat/>
    <w:uiPriority w:val="0"/>
    <w:rPr>
      <w:rFonts w:asciiTheme="minorHAnsi" w:hAnsiTheme="minorHAnsi" w:eastAsiaTheme="minorEastAsia" w:cstheme="minorBidi"/>
      <w:kern w:val="2"/>
      <w:sz w:val="18"/>
      <w:szCs w:val="18"/>
    </w:rPr>
  </w:style>
  <w:style w:type="paragraph" w:customStyle="1" w:styleId="17">
    <w:name w:val="_Style 13"/>
    <w:qFormat/>
    <w:uiPriority w:val="0"/>
    <w:pPr>
      <w:spacing w:before="120" w:after="120" w:line="288" w:lineRule="auto"/>
      <w:ind w:left="0"/>
      <w:jc w:val="left"/>
    </w:pPr>
    <w:rPr>
      <w:rFonts w:ascii="Arial" w:hAnsi="Arial" w:eastAsia="等线" w:cs="Arial"/>
      <w:sz w:val="22"/>
      <w:szCs w:val="22"/>
    </w:rPr>
  </w:style>
  <w:style w:type="paragraph" w:customStyle="1" w:styleId="18">
    <w:name w:val="Table Paragraph"/>
    <w:basedOn w:val="1"/>
    <w:qFormat/>
    <w:uiPriority w:val="0"/>
    <w:rPr>
      <w:rFonts w:hint="eastAsia" w:ascii="宋体" w:hAnsi="宋体" w:eastAsia="宋体" w:cs="Times New Roman"/>
      <w:szCs w:val="2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11</Pages>
  <Words>5583</Words>
  <Characters>5856</Characters>
  <Lines>52</Lines>
  <Paragraphs>14</Paragraphs>
  <TotalTime>3</TotalTime>
  <ScaleCrop>false</ScaleCrop>
  <LinksUpToDate>false</LinksUpToDate>
  <CharactersWithSpaces>5962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2024-05-24T06:51:00Z</dcterms:created>
  <dc:creator>Administrator</dc:creator>
  <cp:lastModifiedBy>强冒</cp:lastModifiedBy>
  <dcterms:modified xsi:type="dcterms:W3CDTF">2025-11-10T02:06:03Z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0B411B6095284181ABC9111F8335A2B4_13</vt:lpwstr>
  </property>
  <property fmtid="{D5CDD505-2E9C-101B-9397-08002B2CF9AE}" pid="4" name="KSOTemplateDocerSaveRecord">
    <vt:lpwstr>eyJoZGlkIjoiMGNhOTI5MDU4MTRhZGUzNDRkMWRiYmNhZDc5YzZkNWQiLCJ1c2VySWQiOiI1NTg4OTE2NzgifQ==</vt:lpwstr>
  </property>
</Properties>
</file>